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75F5" w14:textId="494BF03B" w:rsidR="00291DFC" w:rsidRDefault="006D27F0" w:rsidP="006D27F0">
      <w:pPr>
        <w:spacing w:after="0"/>
        <w:jc w:val="center"/>
        <w:rPr>
          <w:b/>
          <w:bCs/>
          <w:sz w:val="36"/>
          <w:szCs w:val="32"/>
        </w:rPr>
      </w:pPr>
      <w:bookmarkStart w:id="0" w:name="_GoBack"/>
      <w:bookmarkEnd w:id="0"/>
      <w:r>
        <w:rPr>
          <w:b/>
          <w:bCs/>
          <w:sz w:val="36"/>
          <w:szCs w:val="32"/>
        </w:rPr>
        <w:t xml:space="preserve">NADEF </w:t>
      </w:r>
      <w:r w:rsidR="00621BC9">
        <w:rPr>
          <w:b/>
          <w:bCs/>
          <w:sz w:val="36"/>
          <w:szCs w:val="32"/>
        </w:rPr>
        <w:t>2023</w:t>
      </w:r>
      <w:r w:rsidR="00E83CDE">
        <w:rPr>
          <w:b/>
          <w:bCs/>
          <w:sz w:val="36"/>
          <w:szCs w:val="32"/>
        </w:rPr>
        <w:t>:</w:t>
      </w:r>
      <w:r w:rsidR="00621BC9">
        <w:rPr>
          <w:b/>
          <w:bCs/>
          <w:sz w:val="36"/>
          <w:szCs w:val="32"/>
        </w:rPr>
        <w:t xml:space="preserve"> </w:t>
      </w:r>
      <w:r w:rsidRPr="004F3ABE">
        <w:rPr>
          <w:b/>
          <w:bCs/>
          <w:sz w:val="36"/>
          <w:szCs w:val="32"/>
        </w:rPr>
        <w:t>SANITÀ PUBBLICA</w:t>
      </w:r>
      <w:r w:rsidR="00621BC9">
        <w:rPr>
          <w:b/>
          <w:bCs/>
          <w:sz w:val="36"/>
          <w:szCs w:val="32"/>
        </w:rPr>
        <w:t xml:space="preserve"> VERSO IL BARATRO</w:t>
      </w:r>
      <w:r>
        <w:rPr>
          <w:b/>
          <w:bCs/>
          <w:sz w:val="36"/>
          <w:szCs w:val="32"/>
        </w:rPr>
        <w:t xml:space="preserve">. </w:t>
      </w:r>
      <w:r>
        <w:rPr>
          <w:b/>
          <w:bCs/>
          <w:sz w:val="36"/>
          <w:szCs w:val="32"/>
        </w:rPr>
        <w:br/>
      </w:r>
      <w:r w:rsidRPr="004F3ABE">
        <w:rPr>
          <w:b/>
          <w:bCs/>
          <w:sz w:val="36"/>
          <w:szCs w:val="32"/>
        </w:rPr>
        <w:t xml:space="preserve">CROLLA </w:t>
      </w:r>
      <w:r>
        <w:rPr>
          <w:b/>
          <w:bCs/>
          <w:sz w:val="36"/>
          <w:szCs w:val="32"/>
        </w:rPr>
        <w:t xml:space="preserve">IL </w:t>
      </w:r>
      <w:r w:rsidR="004F3ABE" w:rsidRPr="004F3ABE">
        <w:rPr>
          <w:b/>
          <w:bCs/>
          <w:sz w:val="36"/>
          <w:szCs w:val="32"/>
        </w:rPr>
        <w:t>RAPPORTO SPESA SANITARIA/PIL</w:t>
      </w:r>
      <w:r>
        <w:rPr>
          <w:b/>
          <w:bCs/>
          <w:sz w:val="36"/>
          <w:szCs w:val="32"/>
        </w:rPr>
        <w:t>:</w:t>
      </w:r>
      <w:r w:rsidR="004F3ABE" w:rsidRPr="004F3ABE">
        <w:rPr>
          <w:b/>
          <w:bCs/>
          <w:sz w:val="36"/>
          <w:szCs w:val="32"/>
        </w:rPr>
        <w:t xml:space="preserve"> </w:t>
      </w:r>
      <w:r>
        <w:rPr>
          <w:b/>
          <w:bCs/>
          <w:sz w:val="36"/>
          <w:szCs w:val="32"/>
        </w:rPr>
        <w:br/>
      </w:r>
      <w:r w:rsidR="008E5479">
        <w:rPr>
          <w:b/>
          <w:bCs/>
          <w:sz w:val="36"/>
          <w:szCs w:val="32"/>
        </w:rPr>
        <w:t xml:space="preserve">DAL </w:t>
      </w:r>
      <w:r w:rsidR="00123473">
        <w:rPr>
          <w:b/>
          <w:bCs/>
          <w:sz w:val="36"/>
          <w:szCs w:val="32"/>
        </w:rPr>
        <w:t>6,6% NEL 2023</w:t>
      </w:r>
      <w:r>
        <w:rPr>
          <w:b/>
          <w:bCs/>
          <w:sz w:val="36"/>
          <w:szCs w:val="32"/>
        </w:rPr>
        <w:t>,</w:t>
      </w:r>
      <w:r w:rsidR="00123473">
        <w:rPr>
          <w:b/>
          <w:bCs/>
          <w:sz w:val="36"/>
          <w:szCs w:val="32"/>
        </w:rPr>
        <w:t xml:space="preserve"> </w:t>
      </w:r>
      <w:r w:rsidR="004F3ABE" w:rsidRPr="004F3ABE">
        <w:rPr>
          <w:b/>
          <w:bCs/>
          <w:sz w:val="36"/>
          <w:szCs w:val="32"/>
        </w:rPr>
        <w:t>AL 6,2% NEL 2024</w:t>
      </w:r>
      <w:r>
        <w:rPr>
          <w:b/>
          <w:bCs/>
          <w:sz w:val="36"/>
          <w:szCs w:val="32"/>
        </w:rPr>
        <w:t>,</w:t>
      </w:r>
      <w:r w:rsidR="004F3ABE" w:rsidRPr="004F3ABE">
        <w:rPr>
          <w:b/>
          <w:bCs/>
          <w:sz w:val="36"/>
          <w:szCs w:val="32"/>
        </w:rPr>
        <w:t xml:space="preserve"> AL 6,1% NEL 2026</w:t>
      </w:r>
      <w:r w:rsidR="00123473">
        <w:rPr>
          <w:b/>
          <w:bCs/>
          <w:sz w:val="36"/>
          <w:szCs w:val="32"/>
        </w:rPr>
        <w:t>.</w:t>
      </w:r>
      <w:r w:rsidR="00123473">
        <w:rPr>
          <w:b/>
          <w:bCs/>
          <w:sz w:val="36"/>
          <w:szCs w:val="32"/>
        </w:rPr>
        <w:br/>
      </w:r>
      <w:r w:rsidR="00123473" w:rsidRPr="00123473">
        <w:rPr>
          <w:b/>
          <w:bCs/>
          <w:sz w:val="36"/>
          <w:szCs w:val="32"/>
        </w:rPr>
        <w:t xml:space="preserve">NEL </w:t>
      </w:r>
      <w:r>
        <w:rPr>
          <w:b/>
          <w:bCs/>
          <w:sz w:val="36"/>
          <w:szCs w:val="32"/>
        </w:rPr>
        <w:t xml:space="preserve">TRIENNIO </w:t>
      </w:r>
      <w:r w:rsidR="00123473" w:rsidRPr="00123473">
        <w:rPr>
          <w:b/>
          <w:bCs/>
          <w:sz w:val="36"/>
          <w:szCs w:val="32"/>
        </w:rPr>
        <w:t>2024-2026</w:t>
      </w:r>
      <w:r w:rsidR="00621BC9">
        <w:rPr>
          <w:b/>
          <w:bCs/>
          <w:sz w:val="36"/>
          <w:szCs w:val="32"/>
        </w:rPr>
        <w:t xml:space="preserve"> LA SPESA SANITARIA AUMENTA SOLO DELL’</w:t>
      </w:r>
      <w:r w:rsidR="00123473" w:rsidRPr="00123473">
        <w:rPr>
          <w:b/>
          <w:bCs/>
          <w:sz w:val="36"/>
          <w:szCs w:val="32"/>
        </w:rPr>
        <w:t>1,1%</w:t>
      </w:r>
    </w:p>
    <w:p w14:paraId="17E50081" w14:textId="4121322C" w:rsidR="005B4F61" w:rsidRDefault="00A02FC4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3</w:t>
      </w:r>
      <w:r w:rsidR="00664D3E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ottobre</w:t>
      </w:r>
      <w:r w:rsidR="00C62367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4F5B37">
        <w:rPr>
          <w:rFonts w:ascii="Calibri" w:eastAsia="Calibri" w:hAnsi="Calibri" w:cs="Times New Roman"/>
          <w:b/>
          <w:bCs/>
          <w:sz w:val="24"/>
          <w:szCs w:val="24"/>
        </w:rPr>
        <w:t>23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815D4F"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14:paraId="54D9016D" w14:textId="07B5568F" w:rsidR="00665127" w:rsidRDefault="00665127" w:rsidP="00D870A5">
      <w:pPr>
        <w:spacing w:after="120"/>
        <w:jc w:val="both"/>
        <w:rPr>
          <w:rFonts w:cstheme="minorHAnsi"/>
        </w:rPr>
      </w:pPr>
      <w:r>
        <w:rPr>
          <w:rFonts w:cstheme="minorHAnsi"/>
        </w:rPr>
        <w:t>Nella</w:t>
      </w:r>
      <w:r w:rsidRPr="00665127">
        <w:rPr>
          <w:rFonts w:cstheme="minorHAnsi"/>
        </w:rPr>
        <w:t xml:space="preserve"> N</w:t>
      </w:r>
      <w:r>
        <w:rPr>
          <w:rFonts w:cstheme="minorHAnsi"/>
        </w:rPr>
        <w:t xml:space="preserve">ota di aggiornamento del </w:t>
      </w:r>
      <w:r w:rsidRPr="00665127">
        <w:rPr>
          <w:rFonts w:cstheme="minorHAnsi"/>
        </w:rPr>
        <w:t>D</w:t>
      </w:r>
      <w:r>
        <w:rPr>
          <w:rFonts w:cstheme="minorHAnsi"/>
        </w:rPr>
        <w:t xml:space="preserve">ocumento di Economia e </w:t>
      </w:r>
      <w:r w:rsidRPr="00665127">
        <w:rPr>
          <w:rFonts w:cstheme="minorHAnsi"/>
        </w:rPr>
        <w:t>F</w:t>
      </w:r>
      <w:r>
        <w:rPr>
          <w:rFonts w:cstheme="minorHAnsi"/>
        </w:rPr>
        <w:t>inanza (NaDEF)</w:t>
      </w:r>
      <w:r w:rsidRPr="00665127">
        <w:rPr>
          <w:rFonts w:cstheme="minorHAnsi"/>
        </w:rPr>
        <w:t xml:space="preserve"> 2023, </w:t>
      </w:r>
      <w:r>
        <w:rPr>
          <w:rFonts w:cstheme="minorHAnsi"/>
        </w:rPr>
        <w:t>deliberata i</w:t>
      </w:r>
      <w:r w:rsidRPr="00665127">
        <w:rPr>
          <w:rFonts w:cstheme="minorHAnsi"/>
        </w:rPr>
        <w:t xml:space="preserve">l 27 settembre 2023 </w:t>
      </w:r>
      <w:r>
        <w:rPr>
          <w:rFonts w:cstheme="minorHAnsi"/>
        </w:rPr>
        <w:t>e resa pubblica il 30 settembre,</w:t>
      </w:r>
      <w:r w:rsidRPr="00665127">
        <w:rPr>
          <w:rFonts w:cstheme="minorHAnsi"/>
        </w:rPr>
        <w:t xml:space="preserve"> relativamente alla sanità, si legge che</w:t>
      </w:r>
      <w:r>
        <w:rPr>
          <w:rFonts w:cstheme="minorHAnsi"/>
        </w:rPr>
        <w:t xml:space="preserve"> “</w:t>
      </w:r>
      <w:r w:rsidRPr="00665127">
        <w:rPr>
          <w:rFonts w:cstheme="minorHAnsi"/>
          <w:i/>
          <w:iCs/>
        </w:rPr>
        <w:t>La Legge di Bilancio 2024 prevederà, per il triennio 2024-2026, stanziamenti da destinare al personale del sistema sanitario</w:t>
      </w:r>
      <w:r>
        <w:rPr>
          <w:rFonts w:cstheme="minorHAnsi"/>
        </w:rPr>
        <w:t xml:space="preserve">”. Inoltre, il </w:t>
      </w:r>
      <w:r w:rsidRPr="00665127">
        <w:rPr>
          <w:rFonts w:cstheme="minorHAnsi"/>
        </w:rPr>
        <w:t>Governo dichiara collegat</w:t>
      </w:r>
      <w:r w:rsidR="00B40C28">
        <w:rPr>
          <w:rFonts w:cstheme="minorHAnsi"/>
        </w:rPr>
        <w:t>i</w:t>
      </w:r>
      <w:r w:rsidRPr="00665127">
        <w:rPr>
          <w:rFonts w:cstheme="minorHAnsi"/>
        </w:rPr>
        <w:t xml:space="preserve"> alla decisione di bilancio </w:t>
      </w:r>
      <w:r>
        <w:rPr>
          <w:rFonts w:cstheme="minorHAnsi"/>
        </w:rPr>
        <w:t xml:space="preserve">due </w:t>
      </w:r>
      <w:r w:rsidRPr="00665127">
        <w:rPr>
          <w:rFonts w:cstheme="minorHAnsi"/>
        </w:rPr>
        <w:t>disegn</w:t>
      </w:r>
      <w:r>
        <w:rPr>
          <w:rFonts w:cstheme="minorHAnsi"/>
        </w:rPr>
        <w:t>i</w:t>
      </w:r>
      <w:r w:rsidRPr="00665127">
        <w:rPr>
          <w:rFonts w:cstheme="minorHAnsi"/>
        </w:rPr>
        <w:t xml:space="preserve"> di legge</w:t>
      </w:r>
      <w:r>
        <w:rPr>
          <w:rFonts w:cstheme="minorHAnsi"/>
        </w:rPr>
        <w:t>:</w:t>
      </w:r>
      <w:r w:rsidRPr="00665127">
        <w:rPr>
          <w:rFonts w:cstheme="minorHAnsi"/>
        </w:rPr>
        <w:t xml:space="preserve"> </w:t>
      </w:r>
      <w:r>
        <w:rPr>
          <w:rFonts w:cstheme="minorHAnsi"/>
        </w:rPr>
        <w:t xml:space="preserve">il primo </w:t>
      </w:r>
      <w:r w:rsidRPr="00665127">
        <w:rPr>
          <w:rFonts w:cstheme="minorHAnsi"/>
        </w:rPr>
        <w:t>in materia di</w:t>
      </w:r>
      <w:r>
        <w:rPr>
          <w:rFonts w:cstheme="minorHAnsi"/>
        </w:rPr>
        <w:t xml:space="preserve"> </w:t>
      </w:r>
      <w:r w:rsidRPr="00665127">
        <w:rPr>
          <w:rFonts w:cstheme="minorHAnsi"/>
        </w:rPr>
        <w:t>riorganizzazione e potenziamento dell’assistenza territoriale nel SSN e dell’assistenza ospedaliera;</w:t>
      </w:r>
      <w:r>
        <w:rPr>
          <w:rFonts w:cstheme="minorHAnsi"/>
        </w:rPr>
        <w:t xml:space="preserve"> il secondo</w:t>
      </w:r>
      <w:r w:rsidRPr="00665127">
        <w:rPr>
          <w:rFonts w:cstheme="minorHAnsi"/>
        </w:rPr>
        <w:t xml:space="preserve"> in materia di riordino delle professioni sanitarie e degli enti vigilati dal Ministero della Salute.</w:t>
      </w:r>
    </w:p>
    <w:p w14:paraId="09D98D5E" w14:textId="076562F0" w:rsidR="00D114FD" w:rsidRDefault="00712FB7" w:rsidP="00D870A5">
      <w:pPr>
        <w:spacing w:after="120"/>
        <w:jc w:val="both"/>
        <w:rPr>
          <w:rFonts w:cstheme="minorHAnsi"/>
        </w:rPr>
      </w:pPr>
      <w:r w:rsidRPr="0046020B">
        <w:rPr>
          <w:rFonts w:cstheme="minorHAnsi"/>
        </w:rPr>
        <w:t>«</w:t>
      </w:r>
      <w:r w:rsidR="0033579B">
        <w:rPr>
          <w:rFonts w:cstheme="minorHAnsi"/>
        </w:rPr>
        <w:t>Alla vigilia della discussione della Legge di Bilancio 202</w:t>
      </w:r>
      <w:r w:rsidR="00DC6DC9">
        <w:rPr>
          <w:rFonts w:cstheme="minorHAnsi"/>
        </w:rPr>
        <w:t>4</w:t>
      </w:r>
      <w:r w:rsidR="0033579B">
        <w:rPr>
          <w:rFonts w:cstheme="minorHAnsi"/>
        </w:rPr>
        <w:t xml:space="preserve"> </w:t>
      </w:r>
      <w:r w:rsidR="0033579B" w:rsidRPr="0046020B">
        <w:rPr>
          <w:rFonts w:cstheme="minorHAnsi"/>
        </w:rPr>
        <w:t>– afferma Nino Cartabellotta, Presidente della Fondazione GIMBE –</w:t>
      </w:r>
      <w:r w:rsidR="00DC6DC9">
        <w:rPr>
          <w:rFonts w:cstheme="minorHAnsi"/>
        </w:rPr>
        <w:t xml:space="preserve"> </w:t>
      </w:r>
      <w:r w:rsidR="0033579B">
        <w:rPr>
          <w:rFonts w:cstheme="minorHAnsi"/>
        </w:rPr>
        <w:t>la Fondazione GIMBE ha effettuato un’analisi indipendente della NaDEF 20</w:t>
      </w:r>
      <w:r w:rsidR="00B40C28">
        <w:rPr>
          <w:rFonts w:cstheme="minorHAnsi"/>
        </w:rPr>
        <w:t>23</w:t>
      </w:r>
      <w:r w:rsidR="0033579B">
        <w:rPr>
          <w:rFonts w:cstheme="minorHAnsi"/>
        </w:rPr>
        <w:t xml:space="preserve"> </w:t>
      </w:r>
      <w:r w:rsidR="0033579B" w:rsidRPr="008E5A77">
        <w:rPr>
          <w:rFonts w:cstheme="minorHAnsi"/>
        </w:rPr>
        <w:t>relativa</w:t>
      </w:r>
      <w:r w:rsidR="00B40C28" w:rsidRPr="008E5A77">
        <w:rPr>
          <w:rFonts w:cstheme="minorHAnsi"/>
        </w:rPr>
        <w:t>mente</w:t>
      </w:r>
      <w:r w:rsidR="0033579B" w:rsidRPr="008E5A77">
        <w:rPr>
          <w:rFonts w:cstheme="minorHAnsi"/>
        </w:rPr>
        <w:t xml:space="preserve"> alla spesa sanitaria</w:t>
      </w:r>
      <w:r w:rsidR="00DC6DC9" w:rsidRPr="008E5A77">
        <w:rPr>
          <w:rFonts w:cstheme="minorHAnsi"/>
        </w:rPr>
        <w:t>, sia</w:t>
      </w:r>
      <w:r w:rsidR="008E5A77" w:rsidRPr="008E5A77">
        <w:rPr>
          <w:rFonts w:cstheme="minorHAnsi"/>
        </w:rPr>
        <w:t xml:space="preserve"> per</w:t>
      </w:r>
      <w:r w:rsidR="00DC6DC9" w:rsidRPr="008E5A77">
        <w:rPr>
          <w:rFonts w:cstheme="minorHAnsi"/>
        </w:rPr>
        <w:t xml:space="preserve"> </w:t>
      </w:r>
      <w:r w:rsidR="007D076E" w:rsidRPr="008E5A77">
        <w:rPr>
          <w:rFonts w:cstheme="minorHAnsi"/>
        </w:rPr>
        <w:t xml:space="preserve">verificare </w:t>
      </w:r>
      <w:r w:rsidR="008E5A77" w:rsidRPr="008E5A77">
        <w:rPr>
          <w:rFonts w:cstheme="minorHAnsi"/>
        </w:rPr>
        <w:t xml:space="preserve">la coerenza tra </w:t>
      </w:r>
      <w:r w:rsidR="007D076E" w:rsidRPr="008E5A77">
        <w:rPr>
          <w:rFonts w:cstheme="minorHAnsi"/>
        </w:rPr>
        <w:t>dichiarazioni programmatiche</w:t>
      </w:r>
      <w:r w:rsidR="008E5A77" w:rsidRPr="008E5A77">
        <w:rPr>
          <w:rFonts w:cstheme="minorHAnsi"/>
        </w:rPr>
        <w:t xml:space="preserve"> e stime tendenziali</w:t>
      </w:r>
      <w:r w:rsidR="00DC6DC9" w:rsidRPr="008E5A77">
        <w:rPr>
          <w:rFonts w:cstheme="minorHAnsi"/>
        </w:rPr>
        <w:t xml:space="preserve">, sia per informare </w:t>
      </w:r>
      <w:r w:rsidR="00DB32CD" w:rsidRPr="008E5A77">
        <w:rPr>
          <w:rFonts w:cstheme="minorHAnsi"/>
        </w:rPr>
        <w:t>confronto</w:t>
      </w:r>
      <w:r w:rsidR="00DC6DC9" w:rsidRPr="008E5A77">
        <w:rPr>
          <w:rFonts w:cstheme="minorHAnsi"/>
        </w:rPr>
        <w:t xml:space="preserve"> politico </w:t>
      </w:r>
      <w:r w:rsidR="00DB32CD" w:rsidRPr="008E5A77">
        <w:rPr>
          <w:rFonts w:cstheme="minorHAnsi"/>
        </w:rPr>
        <w:t xml:space="preserve">e dibattito pubblico </w:t>
      </w:r>
      <w:r w:rsidR="00DC6DC9" w:rsidRPr="008E5A77">
        <w:rPr>
          <w:rFonts w:cstheme="minorHAnsi"/>
        </w:rPr>
        <w:t xml:space="preserve">in vista della discussione </w:t>
      </w:r>
      <w:r w:rsidR="00A55D49">
        <w:rPr>
          <w:rFonts w:cstheme="minorHAnsi"/>
        </w:rPr>
        <w:t>su</w:t>
      </w:r>
      <w:r w:rsidR="00DC6DC9" w:rsidRPr="008E5A77">
        <w:rPr>
          <w:rFonts w:cstheme="minorHAnsi"/>
        </w:rPr>
        <w:t>lla Manovra</w:t>
      </w:r>
      <w:r w:rsidR="006548B7" w:rsidRPr="008E5A77">
        <w:rPr>
          <w:rFonts w:cstheme="minorHAnsi"/>
        </w:rPr>
        <w:t>».</w:t>
      </w:r>
      <w:r w:rsidR="00CA4575" w:rsidRPr="008E5A77">
        <w:rPr>
          <w:rFonts w:cstheme="minorHAnsi"/>
        </w:rPr>
        <w:t xml:space="preserve"> </w:t>
      </w:r>
    </w:p>
    <w:p w14:paraId="7988B2E5" w14:textId="54758C5A" w:rsidR="003C6764" w:rsidRPr="003C6764" w:rsidRDefault="004E70AD" w:rsidP="003C6764">
      <w:pPr>
        <w:rPr>
          <w:rFonts w:cstheme="minorHAnsi"/>
        </w:rPr>
      </w:pPr>
      <w:r w:rsidRPr="004E70AD">
        <w:rPr>
          <w:rFonts w:cstheme="minorHAnsi"/>
          <w:b/>
          <w:bCs/>
        </w:rPr>
        <w:t>Analisi NaDEF 2023</w:t>
      </w:r>
      <w:r>
        <w:rPr>
          <w:rFonts w:cstheme="minorHAnsi"/>
        </w:rPr>
        <w:t xml:space="preserve">. </w:t>
      </w:r>
      <w:r w:rsidR="003C6764" w:rsidRPr="003C6764">
        <w:rPr>
          <w:rFonts w:cstheme="minorHAnsi"/>
        </w:rPr>
        <w:t xml:space="preserve">In </w:t>
      </w:r>
      <w:r w:rsidR="003C6764">
        <w:rPr>
          <w:rFonts w:cstheme="minorHAnsi"/>
        </w:rPr>
        <w:t>dettaglio</w:t>
      </w:r>
      <w:r w:rsidR="003C6764" w:rsidRPr="003C6764">
        <w:rPr>
          <w:rFonts w:cstheme="minorHAnsi"/>
        </w:rPr>
        <w:t>, analizzando i vari periodi</w:t>
      </w:r>
      <w:r w:rsidR="00285433">
        <w:rPr>
          <w:rFonts w:cstheme="minorHAnsi"/>
        </w:rPr>
        <w:t xml:space="preserve"> (</w:t>
      </w:r>
      <w:r w:rsidR="00285433" w:rsidRPr="00FE51BE">
        <w:rPr>
          <w:rFonts w:cstheme="minorHAnsi"/>
          <w:highlight w:val="yellow"/>
        </w:rPr>
        <w:t xml:space="preserve">tabella </w:t>
      </w:r>
      <w:r w:rsidR="00285433">
        <w:rPr>
          <w:rFonts w:cstheme="minorHAnsi"/>
          <w:highlight w:val="yellow"/>
        </w:rPr>
        <w:t>1</w:t>
      </w:r>
      <w:r w:rsidR="00285433">
        <w:rPr>
          <w:rFonts w:cstheme="minorHAnsi"/>
        </w:rPr>
        <w:t>)</w:t>
      </w:r>
      <w:r w:rsidR="003C6764" w:rsidRPr="003C6764">
        <w:rPr>
          <w:rFonts w:cstheme="minorHAnsi"/>
        </w:rPr>
        <w:t>:</w:t>
      </w:r>
    </w:p>
    <w:p w14:paraId="274C80A6" w14:textId="6CCD9A98" w:rsidR="003C6764" w:rsidRPr="003C6764" w:rsidRDefault="003C6764" w:rsidP="00285433">
      <w:pPr>
        <w:pStyle w:val="Paragrafoelenco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3C6764">
        <w:rPr>
          <w:rFonts w:cstheme="minorHAnsi"/>
          <w:b/>
          <w:bCs/>
        </w:rPr>
        <w:t>Previsionale 2023</w:t>
      </w:r>
      <w:r w:rsidRPr="003C6764">
        <w:rPr>
          <w:rFonts w:cstheme="minorHAnsi"/>
        </w:rPr>
        <w:t>. Rispetto al 2022, la spesa sanitaria aumenta del 2,8%, in termini assoluti di € 3.631</w:t>
      </w:r>
      <w:r w:rsidR="00285433">
        <w:rPr>
          <w:rFonts w:cstheme="minorHAnsi"/>
        </w:rPr>
        <w:t xml:space="preserve"> </w:t>
      </w:r>
      <w:r w:rsidRPr="003C6764">
        <w:rPr>
          <w:rFonts w:cstheme="minorHAnsi"/>
        </w:rPr>
        <w:t>milioni, ma si riduce dal 6,7% al 6,6% in termini di percentuale di PIL.</w:t>
      </w:r>
    </w:p>
    <w:p w14:paraId="3CF02FE1" w14:textId="6C4C8A62" w:rsidR="003C6764" w:rsidRPr="003C6764" w:rsidRDefault="003C6764" w:rsidP="00285433">
      <w:pPr>
        <w:pStyle w:val="Paragrafoelenco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3C6764">
        <w:rPr>
          <w:rFonts w:cstheme="minorHAnsi"/>
          <w:b/>
          <w:bCs/>
        </w:rPr>
        <w:t>Previsionale 2024-2026</w:t>
      </w:r>
      <w:r w:rsidRPr="003C6764">
        <w:rPr>
          <w:rFonts w:cstheme="minorHAnsi"/>
        </w:rPr>
        <w:t xml:space="preserve">. A fronte di una crescita media annua del PIL nominale del 3,5%, la NaDEF 2023 stima la crescita media della spesa sanitaria all’1,1%. Il rapporto spesa sanitaria/PIL precipita dal 6,6% del 2023 </w:t>
      </w:r>
      <w:r w:rsidR="00A55D49">
        <w:rPr>
          <w:rFonts w:cstheme="minorHAnsi"/>
        </w:rPr>
        <w:t xml:space="preserve">al 6,2% nel 2024 e nel 2025, </w:t>
      </w:r>
      <w:r w:rsidR="006F09F2">
        <w:rPr>
          <w:rFonts w:cstheme="minorHAnsi"/>
        </w:rPr>
        <w:t xml:space="preserve">e poi ancora </w:t>
      </w:r>
      <w:r w:rsidRPr="003C6764">
        <w:rPr>
          <w:rFonts w:cstheme="minorHAnsi"/>
        </w:rPr>
        <w:t>al 6,1% nel 2026. Rispetto al 2023, in termini assoluti la spesa sanitaria nel 2024 scende a € 132.946 milioni (-1,3%), per poi risalire nel 2025 a € 136.701</w:t>
      </w:r>
      <w:r w:rsidR="00D97FE7">
        <w:rPr>
          <w:rFonts w:cstheme="minorHAnsi"/>
        </w:rPr>
        <w:t xml:space="preserve"> </w:t>
      </w:r>
      <w:r w:rsidRPr="003C6764">
        <w:rPr>
          <w:rFonts w:cstheme="minorHAnsi"/>
        </w:rPr>
        <w:t xml:space="preserve">milioni (+2,8%) e a € 138.972 </w:t>
      </w:r>
      <w:r w:rsidR="006F09F2">
        <w:rPr>
          <w:rFonts w:cstheme="minorHAnsi"/>
        </w:rPr>
        <w:t xml:space="preserve">milioni </w:t>
      </w:r>
      <w:r w:rsidRPr="003C6764">
        <w:rPr>
          <w:rFonts w:cstheme="minorHAnsi"/>
        </w:rPr>
        <w:t xml:space="preserve">(+1,7%) nel 2026. </w:t>
      </w:r>
      <w:r w:rsidR="007D076E" w:rsidRPr="0046020B">
        <w:rPr>
          <w:rFonts w:cstheme="minorHAnsi"/>
        </w:rPr>
        <w:t>«</w:t>
      </w:r>
      <w:r w:rsidR="00D97FE7" w:rsidRPr="00D97FE7">
        <w:rPr>
          <w:rFonts w:cstheme="minorHAnsi"/>
        </w:rPr>
        <w:t>È del tutto evidente</w:t>
      </w:r>
      <w:r w:rsidR="007D076E">
        <w:rPr>
          <w:rFonts w:cstheme="minorHAnsi"/>
        </w:rPr>
        <w:t xml:space="preserve"> – commenta Cartabellotta – </w:t>
      </w:r>
      <w:r w:rsidR="00D97FE7" w:rsidRPr="00D97FE7">
        <w:rPr>
          <w:rFonts w:cstheme="minorHAnsi"/>
        </w:rPr>
        <w:t xml:space="preserve">che </w:t>
      </w:r>
      <w:r w:rsidR="006F09F2">
        <w:rPr>
          <w:rFonts w:cstheme="minorHAnsi"/>
        </w:rPr>
        <w:t>l’irrisorio</w:t>
      </w:r>
      <w:r w:rsidR="00D97FE7" w:rsidRPr="00D97FE7">
        <w:rPr>
          <w:rFonts w:cstheme="minorHAnsi"/>
        </w:rPr>
        <w:t xml:space="preserve"> aumento della spesa sanitaria di € 4.238 milioni (+1,1%) nel triennio 2024-2026 non </w:t>
      </w:r>
      <w:r w:rsidR="007D076E">
        <w:rPr>
          <w:rFonts w:cstheme="minorHAnsi"/>
        </w:rPr>
        <w:t>basterà a coprire</w:t>
      </w:r>
      <w:r w:rsidR="007D076E" w:rsidRPr="00D97FE7">
        <w:rPr>
          <w:rFonts w:cstheme="minorHAnsi"/>
        </w:rPr>
        <w:t xml:space="preserve"> </w:t>
      </w:r>
      <w:r w:rsidR="00D97FE7" w:rsidRPr="00D97FE7">
        <w:rPr>
          <w:rFonts w:cstheme="minorHAnsi"/>
        </w:rPr>
        <w:t>nemmeno l’aumento dei prezzi, sia per l’erosione dovuta all’inflazione, sia perché l’indice dei prezzi del settore sanitario è superiore all’indice generale di quelli al consumo</w:t>
      </w:r>
      <w:r w:rsidR="007D076E" w:rsidRPr="0046020B">
        <w:rPr>
          <w:rFonts w:cstheme="minorHAnsi"/>
        </w:rPr>
        <w:t>»</w:t>
      </w:r>
      <w:r w:rsidR="00D97FE7" w:rsidRPr="00D97FE7">
        <w:rPr>
          <w:rFonts w:cstheme="minorHAnsi"/>
        </w:rPr>
        <w:t xml:space="preserve">. </w:t>
      </w:r>
      <w:r w:rsidR="006F09F2">
        <w:rPr>
          <w:rFonts w:cstheme="minorHAnsi"/>
        </w:rPr>
        <w:t>In altri termini</w:t>
      </w:r>
      <w:r w:rsidR="00D97FE7" w:rsidRPr="00D97FE7">
        <w:rPr>
          <w:rFonts w:cstheme="minorHAnsi"/>
        </w:rPr>
        <w:t>, le stime previsionali della NaDEF 2023 sulla spesa sanitaria 2024-2026 non lasciano affatto intravedere investimenti da destinare al personale sanitario, ma certificano piuttosto evidenti segnali di definanziamento. In particolare il 2024, lungi dall’essere l’anno del rilancio, segna un preoccupante -1,3%.</w:t>
      </w:r>
    </w:p>
    <w:p w14:paraId="03A101CE" w14:textId="77777777" w:rsidR="00B40C28" w:rsidRDefault="00B40C28" w:rsidP="00285433">
      <w:pPr>
        <w:pStyle w:val="Paragrafoelenco"/>
        <w:spacing w:line="276" w:lineRule="auto"/>
        <w:ind w:left="357"/>
        <w:contextualSpacing w:val="0"/>
        <w:rPr>
          <w:rFonts w:cstheme="minorHAnsi"/>
        </w:rPr>
      </w:pPr>
    </w:p>
    <w:p w14:paraId="0A699DC0" w14:textId="47F59AD2" w:rsidR="004E70AD" w:rsidRPr="004E70AD" w:rsidRDefault="004E70AD" w:rsidP="004E70AD">
      <w:pPr>
        <w:suppressAutoHyphens/>
        <w:spacing w:after="120"/>
        <w:jc w:val="both"/>
        <w:rPr>
          <w:rFonts w:cstheme="minorHAnsi"/>
        </w:rPr>
      </w:pPr>
      <w:bookmarkStart w:id="1" w:name="_Hlk147137254"/>
      <w:r w:rsidRPr="004E70AD">
        <w:rPr>
          <w:rFonts w:cstheme="minorHAnsi"/>
          <w:b/>
          <w:bCs/>
        </w:rPr>
        <w:t>Confronto NaDEF 2023 vs DEF 2023</w:t>
      </w:r>
      <w:r>
        <w:rPr>
          <w:rFonts w:cstheme="minorHAnsi"/>
        </w:rPr>
        <w:t xml:space="preserve">. </w:t>
      </w:r>
      <w:r w:rsidRPr="004E70AD">
        <w:rPr>
          <w:rFonts w:cstheme="minorHAnsi"/>
        </w:rPr>
        <w:t>Relativamente al periodo 2023-2026, rispetto alle stime del DEF 2023, in quelle della NaDEF 2023, la spesa sanitaria in termini assoluti aumenta di soli € 1.140 milioni (+0,4%) e in termini di percentuale del PIL si riduce dello 0,3%</w:t>
      </w:r>
      <w:r w:rsidR="00C82C39">
        <w:rPr>
          <w:rFonts w:cstheme="minorHAnsi"/>
        </w:rPr>
        <w:t xml:space="preserve"> (</w:t>
      </w:r>
      <w:r w:rsidR="00C82C39" w:rsidRPr="00FE51BE">
        <w:rPr>
          <w:rFonts w:cstheme="minorHAnsi"/>
          <w:highlight w:val="yellow"/>
        </w:rPr>
        <w:t xml:space="preserve">tabella </w:t>
      </w:r>
      <w:r w:rsidR="00C82C39" w:rsidRPr="00C82C39">
        <w:rPr>
          <w:rFonts w:cstheme="minorHAnsi"/>
          <w:highlight w:val="yellow"/>
        </w:rPr>
        <w:t>2</w:t>
      </w:r>
      <w:r w:rsidR="00C82C39">
        <w:rPr>
          <w:rFonts w:cstheme="minorHAnsi"/>
        </w:rPr>
        <w:t>)</w:t>
      </w:r>
      <w:r w:rsidRPr="004E70AD">
        <w:rPr>
          <w:rFonts w:cstheme="minorHAnsi"/>
        </w:rPr>
        <w:t>. In dettaglio:</w:t>
      </w:r>
    </w:p>
    <w:p w14:paraId="10D58E5E" w14:textId="77777777" w:rsidR="004E70AD" w:rsidRPr="004E70AD" w:rsidRDefault="004E70AD" w:rsidP="004E70AD">
      <w:pPr>
        <w:pStyle w:val="Paragrafoelenco"/>
        <w:numPr>
          <w:ilvl w:val="0"/>
          <w:numId w:val="44"/>
        </w:numPr>
        <w:suppressAutoHyphens/>
        <w:spacing w:after="200" w:line="276" w:lineRule="auto"/>
        <w:jc w:val="both"/>
        <w:rPr>
          <w:rFonts w:asciiTheme="minorHAnsi" w:hAnsiTheme="minorHAnsi" w:cstheme="minorHAnsi"/>
        </w:rPr>
      </w:pPr>
      <w:r w:rsidRPr="004E70AD">
        <w:rPr>
          <w:rFonts w:asciiTheme="minorHAnsi" w:hAnsiTheme="minorHAnsi" w:cstheme="minorHAnsi"/>
        </w:rPr>
        <w:t>Nel 2023 la spesa sanitaria si riduce di:</w:t>
      </w:r>
    </w:p>
    <w:p w14:paraId="6BC367CA" w14:textId="77777777" w:rsidR="004E70AD" w:rsidRPr="004E70AD" w:rsidRDefault="004E70AD" w:rsidP="004E70AD">
      <w:pPr>
        <w:pStyle w:val="Paragrafoelenco"/>
        <w:numPr>
          <w:ilvl w:val="1"/>
          <w:numId w:val="44"/>
        </w:numPr>
        <w:suppressAutoHyphens/>
        <w:spacing w:after="200" w:line="276" w:lineRule="auto"/>
        <w:jc w:val="both"/>
        <w:rPr>
          <w:rFonts w:asciiTheme="minorHAnsi" w:hAnsiTheme="minorHAnsi" w:cstheme="minorHAnsi"/>
        </w:rPr>
      </w:pPr>
      <w:r w:rsidRPr="004E70AD">
        <w:rPr>
          <w:rFonts w:asciiTheme="minorHAnsi" w:hAnsiTheme="minorHAnsi" w:cstheme="minorHAnsi"/>
        </w:rPr>
        <w:t>0,1% in termini di percentuale del PIL</w:t>
      </w:r>
    </w:p>
    <w:p w14:paraId="4271A0B3" w14:textId="77777777" w:rsidR="004E70AD" w:rsidRPr="004E70AD" w:rsidRDefault="004E70AD" w:rsidP="004E70AD">
      <w:pPr>
        <w:pStyle w:val="Paragrafoelenco"/>
        <w:numPr>
          <w:ilvl w:val="1"/>
          <w:numId w:val="44"/>
        </w:numPr>
        <w:suppressAutoHyphens/>
        <w:spacing w:after="200" w:line="276" w:lineRule="auto"/>
        <w:jc w:val="both"/>
        <w:rPr>
          <w:rFonts w:asciiTheme="minorHAnsi" w:hAnsiTheme="minorHAnsi" w:cstheme="minorHAnsi"/>
        </w:rPr>
      </w:pPr>
      <w:r w:rsidRPr="004E70AD">
        <w:rPr>
          <w:rFonts w:asciiTheme="minorHAnsi" w:hAnsiTheme="minorHAnsi" w:cstheme="minorHAnsi"/>
        </w:rPr>
        <w:t>€ 1.309 milioni (€ 134.734 milioni vs € 136.043) in termini assoluti</w:t>
      </w:r>
    </w:p>
    <w:p w14:paraId="1C2ED7A9" w14:textId="77777777" w:rsidR="004E70AD" w:rsidRPr="004E70AD" w:rsidRDefault="004E70AD" w:rsidP="004E70AD">
      <w:pPr>
        <w:pStyle w:val="Paragrafoelenco"/>
        <w:numPr>
          <w:ilvl w:val="1"/>
          <w:numId w:val="44"/>
        </w:numPr>
        <w:suppressAutoHyphens/>
        <w:spacing w:after="200" w:line="276" w:lineRule="auto"/>
        <w:jc w:val="both"/>
        <w:rPr>
          <w:rFonts w:asciiTheme="minorHAnsi" w:hAnsiTheme="minorHAnsi" w:cstheme="minorHAnsi"/>
        </w:rPr>
      </w:pPr>
      <w:r w:rsidRPr="004E70AD">
        <w:rPr>
          <w:rFonts w:asciiTheme="minorHAnsi" w:hAnsiTheme="minorHAnsi" w:cstheme="minorHAnsi"/>
        </w:rPr>
        <w:t>1% in termini di variazione percentuale</w:t>
      </w:r>
    </w:p>
    <w:p w14:paraId="4C141FB2" w14:textId="77777777" w:rsidR="004E70AD" w:rsidRPr="004E70AD" w:rsidRDefault="004E70AD" w:rsidP="004E70AD">
      <w:pPr>
        <w:pStyle w:val="Paragrafoelenco"/>
        <w:numPr>
          <w:ilvl w:val="0"/>
          <w:numId w:val="44"/>
        </w:numPr>
        <w:suppressAutoHyphens/>
        <w:spacing w:after="200" w:line="276" w:lineRule="auto"/>
        <w:jc w:val="both"/>
        <w:rPr>
          <w:rFonts w:asciiTheme="minorHAnsi" w:hAnsiTheme="minorHAnsi" w:cstheme="minorHAnsi"/>
        </w:rPr>
      </w:pPr>
      <w:r w:rsidRPr="004E70AD">
        <w:rPr>
          <w:rFonts w:asciiTheme="minorHAnsi" w:hAnsiTheme="minorHAnsi" w:cstheme="minorHAnsi"/>
        </w:rPr>
        <w:t>Nel triennio 2024-2026 la spesa sanitaria:</w:t>
      </w:r>
    </w:p>
    <w:p w14:paraId="3B10DD6F" w14:textId="0559A922" w:rsidR="004E70AD" w:rsidRPr="004E70AD" w:rsidRDefault="004E70AD" w:rsidP="004E70AD">
      <w:pPr>
        <w:pStyle w:val="Paragrafoelenco"/>
        <w:numPr>
          <w:ilvl w:val="1"/>
          <w:numId w:val="44"/>
        </w:numPr>
        <w:suppressAutoHyphens/>
        <w:spacing w:after="200" w:line="276" w:lineRule="auto"/>
        <w:jc w:val="both"/>
        <w:rPr>
          <w:rFonts w:asciiTheme="minorHAnsi" w:hAnsiTheme="minorHAnsi" w:cstheme="minorHAnsi"/>
        </w:rPr>
      </w:pPr>
      <w:r w:rsidRPr="004E70AD">
        <w:rPr>
          <w:rFonts w:asciiTheme="minorHAnsi" w:hAnsiTheme="minorHAnsi" w:cstheme="minorHAnsi"/>
        </w:rPr>
        <w:t>si riduce complessivamente dello 0,2%</w:t>
      </w:r>
      <w:r w:rsidR="00380DD7" w:rsidRPr="00380DD7">
        <w:rPr>
          <w:rFonts w:asciiTheme="minorHAnsi" w:hAnsiTheme="minorHAnsi" w:cstheme="minorHAnsi"/>
        </w:rPr>
        <w:t xml:space="preserve"> </w:t>
      </w:r>
      <w:r w:rsidR="00380DD7" w:rsidRPr="004E70AD">
        <w:rPr>
          <w:rFonts w:asciiTheme="minorHAnsi" w:hAnsiTheme="minorHAnsi" w:cstheme="minorHAnsi"/>
        </w:rPr>
        <w:t>in termini di percentuale di PIL</w:t>
      </w:r>
    </w:p>
    <w:p w14:paraId="110BC923" w14:textId="5BBA2FB4" w:rsidR="004E70AD" w:rsidRPr="004E70AD" w:rsidRDefault="004E70AD" w:rsidP="004E70AD">
      <w:pPr>
        <w:pStyle w:val="Paragrafoelenco"/>
        <w:numPr>
          <w:ilvl w:val="1"/>
          <w:numId w:val="44"/>
        </w:numPr>
        <w:suppressAutoHyphens/>
        <w:spacing w:after="200" w:line="276" w:lineRule="auto"/>
        <w:jc w:val="both"/>
        <w:rPr>
          <w:rFonts w:asciiTheme="minorHAnsi" w:hAnsiTheme="minorHAnsi" w:cstheme="minorHAnsi"/>
        </w:rPr>
      </w:pPr>
      <w:r w:rsidRPr="004E70AD">
        <w:rPr>
          <w:rFonts w:asciiTheme="minorHAnsi" w:hAnsiTheme="minorHAnsi" w:cstheme="minorHAnsi"/>
        </w:rPr>
        <w:lastRenderedPageBreak/>
        <w:t>aumenta di € 2.449 milioni (in media € 816 milioni/anno)</w:t>
      </w:r>
      <w:r w:rsidR="00380DD7" w:rsidRPr="00380DD7">
        <w:rPr>
          <w:rFonts w:asciiTheme="minorHAnsi" w:hAnsiTheme="minorHAnsi" w:cstheme="minorHAnsi"/>
        </w:rPr>
        <w:t xml:space="preserve"> </w:t>
      </w:r>
      <w:r w:rsidR="00380DD7" w:rsidRPr="004E70AD">
        <w:rPr>
          <w:rFonts w:asciiTheme="minorHAnsi" w:hAnsiTheme="minorHAnsi" w:cstheme="minorHAnsi"/>
        </w:rPr>
        <w:t>in termini assoluti</w:t>
      </w:r>
    </w:p>
    <w:p w14:paraId="65C10FD6" w14:textId="10C4E8A1" w:rsidR="00794997" w:rsidRPr="004E70AD" w:rsidRDefault="004E70AD" w:rsidP="00794997">
      <w:pPr>
        <w:pStyle w:val="Paragrafoelenco"/>
        <w:numPr>
          <w:ilvl w:val="1"/>
          <w:numId w:val="44"/>
        </w:numPr>
        <w:suppressAutoHyphens/>
        <w:spacing w:after="200" w:line="276" w:lineRule="auto"/>
        <w:jc w:val="both"/>
        <w:rPr>
          <w:rFonts w:asciiTheme="minorHAnsi" w:hAnsiTheme="minorHAnsi" w:cstheme="minorHAnsi"/>
        </w:rPr>
      </w:pPr>
      <w:r w:rsidRPr="004E70AD">
        <w:rPr>
          <w:rFonts w:asciiTheme="minorHAnsi" w:hAnsiTheme="minorHAnsi" w:cstheme="minorHAnsi"/>
        </w:rPr>
        <w:t>aumenta di 1,4 punti percentuali (in media di 0,47 per anno)</w:t>
      </w:r>
      <w:bookmarkEnd w:id="1"/>
      <w:r w:rsidR="00380DD7" w:rsidRPr="00380DD7">
        <w:rPr>
          <w:rFonts w:asciiTheme="minorHAnsi" w:hAnsiTheme="minorHAnsi" w:cstheme="minorHAnsi"/>
        </w:rPr>
        <w:t xml:space="preserve"> </w:t>
      </w:r>
      <w:r w:rsidR="00380DD7" w:rsidRPr="004E70AD">
        <w:rPr>
          <w:rFonts w:asciiTheme="minorHAnsi" w:hAnsiTheme="minorHAnsi" w:cstheme="minorHAnsi"/>
        </w:rPr>
        <w:t>in termini di variazione percentuale</w:t>
      </w:r>
    </w:p>
    <w:p w14:paraId="7A06515A" w14:textId="480AF89E" w:rsidR="00FF0149" w:rsidRDefault="00FF0149" w:rsidP="00FF0149">
      <w:pPr>
        <w:suppressAutoHyphens/>
        <w:spacing w:after="120"/>
        <w:jc w:val="both"/>
        <w:rPr>
          <w:rFonts w:cstheme="minorHAnsi"/>
        </w:rPr>
      </w:pPr>
      <w:r w:rsidRPr="00FF0149">
        <w:rPr>
          <w:rFonts w:cstheme="minorHAnsi"/>
        </w:rPr>
        <w:t>Complessivamente le stime della NaDEF 2023 confermano che la sanità rimane la “cenerentola” dell’agenda politica per varie ragioni. Innanzitutto,</w:t>
      </w:r>
      <w:r w:rsidR="00FE2505" w:rsidRPr="00FE2505">
        <w:t xml:space="preserve"> </w:t>
      </w:r>
      <w:r w:rsidR="00FE2505">
        <w:rPr>
          <w:rFonts w:cstheme="minorHAnsi"/>
        </w:rPr>
        <w:t>i</w:t>
      </w:r>
      <w:r w:rsidR="00FE2505" w:rsidRPr="00FE2505">
        <w:rPr>
          <w:rFonts w:cstheme="minorHAnsi"/>
        </w:rPr>
        <w:t xml:space="preserve">l rapporto spesa sanitaria/PIL </w:t>
      </w:r>
      <w:r w:rsidR="00A55D49">
        <w:rPr>
          <w:rFonts w:cstheme="minorHAnsi"/>
        </w:rPr>
        <w:t xml:space="preserve">del </w:t>
      </w:r>
      <w:r w:rsidR="00FE2505" w:rsidRPr="00FE2505">
        <w:rPr>
          <w:rFonts w:cstheme="minorHAnsi"/>
        </w:rPr>
        <w:t xml:space="preserve">6,7% del 2022 </w:t>
      </w:r>
      <w:r w:rsidR="00A55D49" w:rsidRPr="00FE2505">
        <w:rPr>
          <w:rFonts w:cstheme="minorHAnsi"/>
        </w:rPr>
        <w:t>scende a</w:t>
      </w:r>
      <w:r w:rsidR="00A55D49">
        <w:rPr>
          <w:rFonts w:cstheme="minorHAnsi"/>
        </w:rPr>
        <w:t>l</w:t>
      </w:r>
      <w:r w:rsidR="00A55D49" w:rsidRPr="00FE2505">
        <w:rPr>
          <w:rFonts w:cstheme="minorHAnsi"/>
        </w:rPr>
        <w:t xml:space="preserve"> 6,6% </w:t>
      </w:r>
      <w:r w:rsidR="00A55D49">
        <w:rPr>
          <w:rFonts w:cstheme="minorHAnsi"/>
        </w:rPr>
        <w:t xml:space="preserve">nel 2023 e </w:t>
      </w:r>
      <w:r w:rsidR="00FE2505" w:rsidRPr="00FE2505">
        <w:rPr>
          <w:rFonts w:cstheme="minorHAnsi"/>
        </w:rPr>
        <w:t xml:space="preserve">continuerà a </w:t>
      </w:r>
      <w:r w:rsidR="00380DD7">
        <w:rPr>
          <w:rFonts w:cstheme="minorHAnsi"/>
        </w:rPr>
        <w:t>calare</w:t>
      </w:r>
      <w:r w:rsidR="00380DD7" w:rsidRPr="00FE2505">
        <w:rPr>
          <w:rFonts w:cstheme="minorHAnsi"/>
        </w:rPr>
        <w:t xml:space="preserve"> </w:t>
      </w:r>
      <w:r w:rsidR="00FE2505" w:rsidRPr="00FE2505">
        <w:rPr>
          <w:rFonts w:cstheme="minorHAnsi"/>
        </w:rPr>
        <w:t xml:space="preserve">negli anni </w:t>
      </w:r>
      <w:r w:rsidR="00285433">
        <w:rPr>
          <w:rFonts w:cstheme="minorHAnsi"/>
        </w:rPr>
        <w:t>successivi, sino a</w:t>
      </w:r>
      <w:r w:rsidR="00FE2505" w:rsidRPr="00FE2505">
        <w:rPr>
          <w:rFonts w:cstheme="minorHAnsi"/>
        </w:rPr>
        <w:t xml:space="preserve"> </w:t>
      </w:r>
      <w:r w:rsidR="00A55D49">
        <w:rPr>
          <w:rFonts w:cstheme="minorHAnsi"/>
        </w:rPr>
        <w:t>raggiungere</w:t>
      </w:r>
      <w:r w:rsidR="00285433">
        <w:rPr>
          <w:rFonts w:cstheme="minorHAnsi"/>
        </w:rPr>
        <w:t xml:space="preserve"> </w:t>
      </w:r>
      <w:r w:rsidR="00A55D49">
        <w:rPr>
          <w:rFonts w:cstheme="minorHAnsi"/>
        </w:rPr>
        <w:t>il</w:t>
      </w:r>
      <w:r w:rsidR="00FE2505" w:rsidRPr="00FE2505">
        <w:rPr>
          <w:rFonts w:cstheme="minorHAnsi"/>
        </w:rPr>
        <w:t xml:space="preserve"> 6,1% nel 2026, un valore inferiore a quello pre-pandemico del 2019 (6,4%)</w:t>
      </w:r>
      <w:r w:rsidRPr="00FF0149">
        <w:rPr>
          <w:rFonts w:cstheme="minorHAnsi"/>
        </w:rPr>
        <w:t xml:space="preserve">; in secondo luogo, nel triennio 2024-2026 </w:t>
      </w:r>
      <w:r w:rsidR="00FE2505">
        <w:rPr>
          <w:rFonts w:cstheme="minorHAnsi"/>
        </w:rPr>
        <w:t>la Na</w:t>
      </w:r>
      <w:r w:rsidRPr="00FF0149">
        <w:rPr>
          <w:rFonts w:cstheme="minorHAnsi"/>
        </w:rPr>
        <w:t>DEF stima una crescita media annua del PIL nominale del 3,</w:t>
      </w:r>
      <w:r w:rsidR="00285433">
        <w:rPr>
          <w:rFonts w:cstheme="minorHAnsi"/>
        </w:rPr>
        <w:t>5</w:t>
      </w:r>
      <w:r w:rsidRPr="00FF0149">
        <w:rPr>
          <w:rFonts w:cstheme="minorHAnsi"/>
        </w:rPr>
        <w:t>%, a fronte dell</w:t>
      </w:r>
      <w:r w:rsidR="00285433">
        <w:rPr>
          <w:rFonts w:cstheme="minorHAnsi"/>
        </w:rPr>
        <w:t>’1,1</w:t>
      </w:r>
      <w:r w:rsidRPr="00FF0149">
        <w:rPr>
          <w:rFonts w:cstheme="minorHAnsi"/>
        </w:rPr>
        <w:t xml:space="preserve">% di quella della spesa sanitaria, ovvero un investimento che impegna </w:t>
      </w:r>
      <w:r w:rsidR="00285433">
        <w:rPr>
          <w:rFonts w:cstheme="minorHAnsi"/>
        </w:rPr>
        <w:t xml:space="preserve">meno di </w:t>
      </w:r>
      <w:r w:rsidRPr="00FF0149">
        <w:rPr>
          <w:rFonts w:cstheme="minorHAnsi"/>
        </w:rPr>
        <w:t>1/</w:t>
      </w:r>
      <w:r w:rsidR="00285433">
        <w:rPr>
          <w:rFonts w:cstheme="minorHAnsi"/>
        </w:rPr>
        <w:t>3</w:t>
      </w:r>
      <w:r w:rsidRPr="00FF0149">
        <w:rPr>
          <w:rFonts w:cstheme="minorHAnsi"/>
        </w:rPr>
        <w:t xml:space="preserve"> della crescita attesa del PIL; infine, </w:t>
      </w:r>
      <w:r>
        <w:rPr>
          <w:rFonts w:cstheme="minorHAnsi"/>
        </w:rPr>
        <w:t xml:space="preserve">nonostante </w:t>
      </w:r>
      <w:r w:rsidR="00A55D49">
        <w:rPr>
          <w:rFonts w:cstheme="minorHAnsi"/>
        </w:rPr>
        <w:t xml:space="preserve">le </w:t>
      </w:r>
      <w:r w:rsidR="00380DD7">
        <w:rPr>
          <w:rFonts w:cstheme="minorHAnsi"/>
        </w:rPr>
        <w:t xml:space="preserve">dichiarazioni programmatiche sugli </w:t>
      </w:r>
      <w:r w:rsidRPr="00FF0149">
        <w:rPr>
          <w:rFonts w:cstheme="minorHAnsi"/>
        </w:rPr>
        <w:t xml:space="preserve">stanziamenti </w:t>
      </w:r>
      <w:r w:rsidR="00380DD7" w:rsidRPr="00FF0149">
        <w:rPr>
          <w:rFonts w:cstheme="minorHAnsi"/>
        </w:rPr>
        <w:t xml:space="preserve">2024-2026 </w:t>
      </w:r>
      <w:r w:rsidRPr="00FF0149">
        <w:rPr>
          <w:rFonts w:cstheme="minorHAnsi"/>
        </w:rPr>
        <w:t xml:space="preserve">da destinare al personale del </w:t>
      </w:r>
      <w:r>
        <w:rPr>
          <w:rFonts w:cstheme="minorHAnsi"/>
        </w:rPr>
        <w:t>SSN</w:t>
      </w:r>
      <w:r w:rsidR="00B40C28">
        <w:rPr>
          <w:rFonts w:cstheme="minorHAnsi"/>
        </w:rPr>
        <w:t xml:space="preserve">, </w:t>
      </w:r>
      <w:r w:rsidR="00380DD7">
        <w:rPr>
          <w:rFonts w:cstheme="minorHAnsi"/>
        </w:rPr>
        <w:t>la Na</w:t>
      </w:r>
      <w:r w:rsidR="00380DD7" w:rsidRPr="00FF0149">
        <w:rPr>
          <w:rFonts w:cstheme="minorHAnsi"/>
        </w:rPr>
        <w:t>DEF 2023</w:t>
      </w:r>
      <w:r w:rsidR="00380DD7">
        <w:rPr>
          <w:rFonts w:cstheme="minorHAnsi"/>
        </w:rPr>
        <w:t xml:space="preserve"> </w:t>
      </w:r>
      <w:r w:rsidRPr="00FF0149">
        <w:rPr>
          <w:rFonts w:cstheme="minorHAnsi"/>
        </w:rPr>
        <w:t>non fa alcun cenno all</w:t>
      </w:r>
      <w:r w:rsidR="00B40C28">
        <w:rPr>
          <w:rFonts w:cstheme="minorHAnsi"/>
        </w:rPr>
        <w:t xml:space="preserve">a graduale </w:t>
      </w:r>
      <w:r w:rsidRPr="00FF0149">
        <w:rPr>
          <w:rFonts w:cstheme="minorHAnsi"/>
        </w:rPr>
        <w:t>aboli</w:t>
      </w:r>
      <w:r w:rsidR="00B40C28">
        <w:rPr>
          <w:rFonts w:cstheme="minorHAnsi"/>
        </w:rPr>
        <w:t xml:space="preserve">zione del </w:t>
      </w:r>
      <w:r w:rsidRPr="00FF0149">
        <w:rPr>
          <w:rFonts w:cstheme="minorHAnsi"/>
        </w:rPr>
        <w:t xml:space="preserve">tetto di spesa per il personale sanitario, priorità assoluta per rilanciare le politiche del capitale umano. </w:t>
      </w:r>
      <w:r w:rsidR="009117A8" w:rsidRPr="0046020B">
        <w:rPr>
          <w:rFonts w:cstheme="minorHAnsi"/>
        </w:rPr>
        <w:t>«</w:t>
      </w:r>
      <w:r w:rsidR="00380DD7">
        <w:rPr>
          <w:rFonts w:cstheme="minorHAnsi"/>
        </w:rPr>
        <w:t>I</w:t>
      </w:r>
      <w:r w:rsidR="009117A8">
        <w:rPr>
          <w:rFonts w:cstheme="minorHAnsi"/>
        </w:rPr>
        <w:t xml:space="preserve"> </w:t>
      </w:r>
      <w:r w:rsidRPr="00FF0149">
        <w:rPr>
          <w:rFonts w:cstheme="minorHAnsi"/>
        </w:rPr>
        <w:t>numeri del</w:t>
      </w:r>
      <w:r>
        <w:rPr>
          <w:rFonts w:cstheme="minorHAnsi"/>
        </w:rPr>
        <w:t>la Na</w:t>
      </w:r>
      <w:r w:rsidRPr="00FF0149">
        <w:rPr>
          <w:rFonts w:cstheme="minorHAnsi"/>
        </w:rPr>
        <w:t xml:space="preserve">DEF 2023 </w:t>
      </w:r>
      <w:r w:rsidR="00380DD7">
        <w:rPr>
          <w:rFonts w:cstheme="minorHAnsi"/>
        </w:rPr>
        <w:t>– chiosa Cartabellotta – certificano</w:t>
      </w:r>
      <w:r w:rsidR="00380DD7" w:rsidRPr="00FF0149">
        <w:rPr>
          <w:rFonts w:cstheme="minorHAnsi"/>
        </w:rPr>
        <w:t xml:space="preserve"> </w:t>
      </w:r>
      <w:r w:rsidRPr="00FF0149">
        <w:rPr>
          <w:rFonts w:cstheme="minorHAnsi"/>
        </w:rPr>
        <w:t xml:space="preserve">che, in linea con </w:t>
      </w:r>
      <w:r w:rsidR="00B40C28">
        <w:rPr>
          <w:rFonts w:cstheme="minorHAnsi"/>
        </w:rPr>
        <w:t>i Governi d</w:t>
      </w:r>
      <w:r w:rsidRPr="00FF0149">
        <w:rPr>
          <w:rFonts w:cstheme="minorHAnsi"/>
        </w:rPr>
        <w:t xml:space="preserve">egli ultimi 15 anni, la sanità pubblica non rappresenta </w:t>
      </w:r>
      <w:r w:rsidR="002D48A6">
        <w:rPr>
          <w:rFonts w:cstheme="minorHAnsi"/>
        </w:rPr>
        <w:t xml:space="preserve">affatto </w:t>
      </w:r>
      <w:r w:rsidRPr="00FF0149">
        <w:rPr>
          <w:rFonts w:cstheme="minorHAnsi"/>
        </w:rPr>
        <w:t>una priorità politica neppure per l’attuale Esecutivo</w:t>
      </w:r>
      <w:r w:rsidR="009117A8" w:rsidRPr="0046020B">
        <w:rPr>
          <w:rFonts w:cstheme="minorHAnsi"/>
        </w:rPr>
        <w:t>».</w:t>
      </w:r>
    </w:p>
    <w:p w14:paraId="0A21655F" w14:textId="61F9E868" w:rsidR="009117A8" w:rsidRDefault="00DF6C32" w:rsidP="00C231F2">
      <w:pPr>
        <w:spacing w:after="120"/>
        <w:jc w:val="both"/>
        <w:rPr>
          <w:rFonts w:cstheme="minorHAnsi"/>
        </w:rPr>
      </w:pPr>
      <w:r w:rsidRPr="0046020B">
        <w:rPr>
          <w:rFonts w:cstheme="minorHAnsi"/>
        </w:rPr>
        <w:t>«</w:t>
      </w:r>
      <w:r w:rsidR="009117A8" w:rsidRPr="00794997">
        <w:rPr>
          <w:rFonts w:cstheme="minorHAnsi"/>
        </w:rPr>
        <w:t xml:space="preserve">Se </w:t>
      </w:r>
      <w:r w:rsidR="009117A8">
        <w:rPr>
          <w:rFonts w:cstheme="minorHAnsi"/>
        </w:rPr>
        <w:t xml:space="preserve">a parole la NaDEF 2023 afferma </w:t>
      </w:r>
      <w:r w:rsidR="00554741">
        <w:rPr>
          <w:rFonts w:cstheme="minorHAnsi"/>
        </w:rPr>
        <w:t>l’intenzione di</w:t>
      </w:r>
      <w:r w:rsidR="00380DD7">
        <w:rPr>
          <w:rFonts w:cstheme="minorHAnsi"/>
        </w:rPr>
        <w:t xml:space="preserve"> stanziare risorse </w:t>
      </w:r>
      <w:r w:rsidR="00652816">
        <w:rPr>
          <w:rFonts w:cstheme="minorHAnsi"/>
        </w:rPr>
        <w:t xml:space="preserve">per il </w:t>
      </w:r>
      <w:r w:rsidR="00380DD7">
        <w:rPr>
          <w:rFonts w:cstheme="minorHAnsi"/>
        </w:rPr>
        <w:t>rilancio del personale sanitario nel prossimo triennio</w:t>
      </w:r>
      <w:r w:rsidR="009117A8">
        <w:rPr>
          <w:rFonts w:cstheme="minorHAnsi"/>
        </w:rPr>
        <w:t xml:space="preserve"> </w:t>
      </w:r>
      <w:r w:rsidR="009117A8" w:rsidRPr="0046020B">
        <w:rPr>
          <w:rFonts w:cstheme="minorHAnsi"/>
        </w:rPr>
        <w:t>–</w:t>
      </w:r>
      <w:r w:rsidR="009117A8">
        <w:rPr>
          <w:rFonts w:cstheme="minorHAnsi"/>
        </w:rPr>
        <w:t xml:space="preserve"> conclude Cartabellotta </w:t>
      </w:r>
      <w:r w:rsidR="009117A8" w:rsidRPr="0046020B">
        <w:rPr>
          <w:rFonts w:cstheme="minorHAnsi"/>
        </w:rPr>
        <w:t>–</w:t>
      </w:r>
      <w:r w:rsidR="00285433">
        <w:rPr>
          <w:rFonts w:cstheme="minorHAnsi"/>
        </w:rPr>
        <w:t xml:space="preserve"> </w:t>
      </w:r>
      <w:r w:rsidR="009117A8">
        <w:rPr>
          <w:rFonts w:cstheme="minorHAnsi"/>
        </w:rPr>
        <w:t xml:space="preserve">i numeri non lasciano intravedere affatto </w:t>
      </w:r>
      <w:r w:rsidR="00380DD7">
        <w:rPr>
          <w:rFonts w:cstheme="minorHAnsi"/>
        </w:rPr>
        <w:t>i fondi</w:t>
      </w:r>
      <w:r w:rsidR="009117A8">
        <w:rPr>
          <w:rFonts w:cstheme="minorHAnsi"/>
        </w:rPr>
        <w:t xml:space="preserve"> necessari, ma viceversa documentano segnali di definanziamento della sanità pubblica ancor più evidenti di quelli del DEF 2023, le cui stime previsionali sulla spesa sanitaria sono state riviste al ribasso</w:t>
      </w:r>
      <w:r w:rsidR="00C231F2">
        <w:rPr>
          <w:rFonts w:cstheme="minorHAnsi"/>
        </w:rPr>
        <w:t xml:space="preserve">. </w:t>
      </w:r>
      <w:r w:rsidR="00554741">
        <w:rPr>
          <w:rFonts w:cstheme="minorHAnsi"/>
        </w:rPr>
        <w:t xml:space="preserve">Oggi la </w:t>
      </w:r>
      <w:r w:rsidR="00C231F2">
        <w:rPr>
          <w:rFonts w:cstheme="minorHAnsi"/>
        </w:rPr>
        <w:t>grave crisi di sostenibilità del</w:t>
      </w:r>
      <w:r w:rsidR="00DB22C3">
        <w:rPr>
          <w:rFonts w:cstheme="minorHAnsi"/>
        </w:rPr>
        <w:t xml:space="preserve"> SSN</w:t>
      </w:r>
      <w:r w:rsidR="00C231F2">
        <w:rPr>
          <w:rFonts w:cstheme="minorHAnsi"/>
        </w:rPr>
        <w:t xml:space="preserve"> </w:t>
      </w:r>
      <w:r w:rsidR="00DB22C3">
        <w:rPr>
          <w:rFonts w:cstheme="minorHAnsi"/>
        </w:rPr>
        <w:t xml:space="preserve">non </w:t>
      </w:r>
      <w:r w:rsidR="00380DD7">
        <w:rPr>
          <w:rFonts w:cstheme="minorHAnsi"/>
        </w:rPr>
        <w:t xml:space="preserve">garantisce </w:t>
      </w:r>
      <w:r w:rsidR="00DB22C3">
        <w:rPr>
          <w:rFonts w:cstheme="minorHAnsi"/>
        </w:rPr>
        <w:t xml:space="preserve">più </w:t>
      </w:r>
      <w:r w:rsidR="00380DD7">
        <w:rPr>
          <w:rFonts w:cstheme="minorHAnsi"/>
        </w:rPr>
        <w:t>alla popolazione</w:t>
      </w:r>
      <w:r w:rsidR="00C231F2">
        <w:rPr>
          <w:rFonts w:cstheme="minorHAnsi"/>
        </w:rPr>
        <w:t xml:space="preserve"> </w:t>
      </w:r>
      <w:r w:rsidR="00380DD7">
        <w:rPr>
          <w:rFonts w:cstheme="minorHAnsi"/>
        </w:rPr>
        <w:t>equità di accesso</w:t>
      </w:r>
      <w:r w:rsidR="00C231F2">
        <w:rPr>
          <w:rFonts w:cstheme="minorHAnsi"/>
        </w:rPr>
        <w:t xml:space="preserve"> alle prestazioni sanitarie con </w:t>
      </w:r>
      <w:r w:rsidR="00554741">
        <w:rPr>
          <w:rFonts w:cstheme="minorHAnsi"/>
        </w:rPr>
        <w:t xml:space="preserve">pesanti </w:t>
      </w:r>
      <w:r w:rsidR="00C231F2">
        <w:rPr>
          <w:rFonts w:cstheme="minorHAnsi"/>
        </w:rPr>
        <w:t xml:space="preserve">conseguenze sulla salute </w:t>
      </w:r>
      <w:r w:rsidR="006D27F0">
        <w:rPr>
          <w:rFonts w:cstheme="minorHAnsi"/>
        </w:rPr>
        <w:t>delle persone</w:t>
      </w:r>
      <w:r w:rsidR="00C231F2">
        <w:rPr>
          <w:rFonts w:cstheme="minorHAnsi"/>
        </w:rPr>
        <w:t xml:space="preserve"> e sull’aumento della spesa privata</w:t>
      </w:r>
      <w:r w:rsidR="00E83CDE">
        <w:rPr>
          <w:rFonts w:cstheme="minorHAnsi"/>
        </w:rPr>
        <w:t>. A</w:t>
      </w:r>
      <w:r w:rsidR="00554741">
        <w:rPr>
          <w:rFonts w:cstheme="minorHAnsi"/>
        </w:rPr>
        <w:t xml:space="preserve"> fronte di questo scenario, </w:t>
      </w:r>
      <w:r w:rsidR="00C231F2">
        <w:rPr>
          <w:rFonts w:cstheme="minorHAnsi"/>
        </w:rPr>
        <w:t>l</w:t>
      </w:r>
      <w:r w:rsidR="00E83CDE">
        <w:rPr>
          <w:rFonts w:cstheme="minorHAnsi"/>
        </w:rPr>
        <w:t xml:space="preserve">e stime </w:t>
      </w:r>
      <w:r w:rsidR="00C231F2">
        <w:rPr>
          <w:rFonts w:cstheme="minorHAnsi"/>
        </w:rPr>
        <w:t xml:space="preserve">NaDEF 2023 </w:t>
      </w:r>
      <w:r w:rsidR="00E83CDE">
        <w:rPr>
          <w:rFonts w:cstheme="minorHAnsi"/>
        </w:rPr>
        <w:t xml:space="preserve">spingono la sanità pubblica sull’orlo del baratro, </w:t>
      </w:r>
      <w:r w:rsidR="00DB22C3">
        <w:rPr>
          <w:rFonts w:cstheme="minorHAnsi"/>
        </w:rPr>
        <w:t>conferma</w:t>
      </w:r>
      <w:r w:rsidR="00E83CDE">
        <w:rPr>
          <w:rFonts w:cstheme="minorHAnsi"/>
        </w:rPr>
        <w:t>ndo</w:t>
      </w:r>
      <w:r w:rsidR="00DB22C3">
        <w:rPr>
          <w:rFonts w:cstheme="minorHAnsi"/>
        </w:rPr>
        <w:t xml:space="preserve"> che i</w:t>
      </w:r>
      <w:r w:rsidR="00C231F2">
        <w:rPr>
          <w:rFonts w:cstheme="minorHAnsi"/>
        </w:rPr>
        <w:t>l rilancio del SSN non rappresenta una priorità politica nell’allocazione delle</w:t>
      </w:r>
      <w:r w:rsidR="00E83CDE">
        <w:rPr>
          <w:rFonts w:cstheme="minorHAnsi"/>
        </w:rPr>
        <w:t>, pur limitate,</w:t>
      </w:r>
      <w:r w:rsidR="00C231F2">
        <w:rPr>
          <w:rFonts w:cstheme="minorHAnsi"/>
        </w:rPr>
        <w:t xml:space="preserve"> risorse. </w:t>
      </w:r>
      <w:r w:rsidR="00472CFC" w:rsidRPr="00472CFC">
        <w:rPr>
          <w:rFonts w:cstheme="minorHAnsi"/>
        </w:rPr>
        <w:t xml:space="preserve">Scivolando, </w:t>
      </w:r>
      <w:r w:rsidR="00DB22C3">
        <w:rPr>
          <w:rFonts w:cstheme="minorHAnsi"/>
        </w:rPr>
        <w:t>lentamente ma inesorabilmente, da un Servizio Sanitario Nazionale basato sulla tutela di un diritto costituzionale, a 21 sistemi sanitari regionali basati sulle regole del libero mercato. E, i</w:t>
      </w:r>
      <w:r w:rsidR="00C231F2">
        <w:rPr>
          <w:rFonts w:cstheme="minorHAnsi"/>
        </w:rPr>
        <w:t xml:space="preserve">gnorando, rispetto ad altri paesi, </w:t>
      </w:r>
      <w:r w:rsidR="00C231F2" w:rsidRPr="00CC48D3">
        <w:rPr>
          <w:rFonts w:cstheme="minorHAnsi"/>
        </w:rPr>
        <w:t>che lo stato di salute e benessere della popolazione condiziona la crescita del PIL: perché chi è malato non produce, non consuma e, spesso, limita anche l’attività lavorativa dei propri familiari</w:t>
      </w:r>
      <w:r w:rsidR="00C231F2" w:rsidRPr="0046020B">
        <w:rPr>
          <w:rFonts w:cstheme="minorHAnsi"/>
        </w:rPr>
        <w:t>».</w:t>
      </w:r>
    </w:p>
    <w:p w14:paraId="26ED5989" w14:textId="77777777" w:rsidR="005D18F5" w:rsidRDefault="005D18F5" w:rsidP="005D18F5">
      <w:pPr>
        <w:spacing w:after="0"/>
        <w:rPr>
          <w:rStyle w:val="Collegamentoipertestuale"/>
          <w:rFonts w:eastAsia="Calibri" w:cstheme="minorHAnsi"/>
        </w:rPr>
      </w:pPr>
    </w:p>
    <w:p w14:paraId="7A90B69B" w14:textId="77777777" w:rsidR="00DC2A0C" w:rsidRPr="005240BD" w:rsidRDefault="00DC2A0C" w:rsidP="003C4D0F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1CBA5059" w14:textId="77777777" w:rsidR="00DC2A0C" w:rsidRPr="005240BD" w:rsidRDefault="00DC2A0C" w:rsidP="003C4D0F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32A91982" w14:textId="67D6C8A5" w:rsidR="008D1B70" w:rsidRDefault="00DC2A0C" w:rsidP="003C4D0F">
      <w:pPr>
        <w:spacing w:after="0"/>
        <w:rPr>
          <w:rStyle w:val="Collegamentoipertestuale"/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8" w:history="1">
        <w:r w:rsidR="004E472B" w:rsidRPr="00066CA1">
          <w:rPr>
            <w:rStyle w:val="Collegamentoipertestuale"/>
            <w:rFonts w:eastAsia="Calibri" w:cstheme="minorHAnsi"/>
          </w:rPr>
          <w:t>ufficio.stampa@gimbe.org</w:t>
        </w:r>
      </w:hyperlink>
    </w:p>
    <w:p w14:paraId="35DC449F" w14:textId="5E416A11" w:rsidR="00C1561D" w:rsidRDefault="00C1561D" w:rsidP="003C4D0F">
      <w:pPr>
        <w:spacing w:after="0"/>
        <w:rPr>
          <w:rStyle w:val="Collegamentoipertestuale"/>
          <w:rFonts w:eastAsia="Calibri" w:cstheme="minorHAnsi"/>
        </w:rPr>
      </w:pPr>
    </w:p>
    <w:p w14:paraId="0E8EF402" w14:textId="1D339E6F" w:rsidR="00C1561D" w:rsidRDefault="00C1561D" w:rsidP="003C4D0F">
      <w:pPr>
        <w:spacing w:after="0"/>
        <w:rPr>
          <w:rStyle w:val="Collegamentoipertestuale"/>
          <w:rFonts w:eastAsia="Calibri" w:cstheme="minorHAnsi"/>
        </w:rPr>
      </w:pPr>
    </w:p>
    <w:p w14:paraId="6051DA85" w14:textId="5FD2466A" w:rsidR="00C1561D" w:rsidRDefault="00C1561D" w:rsidP="003C4D0F">
      <w:pPr>
        <w:spacing w:after="0"/>
        <w:rPr>
          <w:rStyle w:val="Collegamentoipertestuale"/>
          <w:rFonts w:eastAsia="Calibri" w:cstheme="minorHAnsi"/>
        </w:rPr>
      </w:pPr>
    </w:p>
    <w:p w14:paraId="20E42960" w14:textId="6C140BAF" w:rsidR="00F306F9" w:rsidRDefault="00F306F9" w:rsidP="003C4D0F">
      <w:pPr>
        <w:spacing w:after="0"/>
        <w:rPr>
          <w:rStyle w:val="Collegamentoipertestuale"/>
          <w:rFonts w:eastAsia="Calibri" w:cstheme="minorHAnsi"/>
        </w:rPr>
      </w:pPr>
    </w:p>
    <w:p w14:paraId="5811212C" w14:textId="243284B4" w:rsidR="00F306F9" w:rsidRDefault="00F306F9" w:rsidP="003C4D0F">
      <w:pPr>
        <w:spacing w:after="0"/>
        <w:rPr>
          <w:rStyle w:val="Collegamentoipertestuale"/>
          <w:rFonts w:eastAsia="Calibri" w:cstheme="minorHAnsi"/>
        </w:rPr>
      </w:pPr>
    </w:p>
    <w:p w14:paraId="4119C090" w14:textId="13FD1F9E" w:rsidR="00F306F9" w:rsidRDefault="00F306F9" w:rsidP="003C4D0F">
      <w:pPr>
        <w:spacing w:after="0"/>
        <w:rPr>
          <w:rStyle w:val="Collegamentoipertestuale"/>
          <w:rFonts w:eastAsia="Calibri" w:cstheme="minorHAnsi"/>
        </w:rPr>
      </w:pPr>
    </w:p>
    <w:p w14:paraId="70B2B8ED" w14:textId="136D55B6" w:rsidR="00F306F9" w:rsidRDefault="00F306F9" w:rsidP="003C4D0F">
      <w:pPr>
        <w:spacing w:after="0"/>
        <w:rPr>
          <w:rStyle w:val="Collegamentoipertestuale"/>
          <w:rFonts w:eastAsia="Calibri" w:cstheme="minorHAnsi"/>
        </w:rPr>
      </w:pPr>
    </w:p>
    <w:p w14:paraId="647DD319" w14:textId="4A1857D3" w:rsidR="00F306F9" w:rsidRDefault="00F306F9" w:rsidP="003C4D0F">
      <w:pPr>
        <w:spacing w:after="0"/>
        <w:rPr>
          <w:rStyle w:val="Collegamentoipertestuale"/>
          <w:rFonts w:eastAsia="Calibri" w:cstheme="minorHAnsi"/>
        </w:rPr>
      </w:pPr>
    </w:p>
    <w:p w14:paraId="22EE0927" w14:textId="60874003" w:rsidR="00F306F9" w:rsidRDefault="00F306F9" w:rsidP="003C4D0F">
      <w:pPr>
        <w:spacing w:after="0"/>
        <w:rPr>
          <w:rStyle w:val="Collegamentoipertestuale"/>
          <w:rFonts w:eastAsia="Calibri" w:cstheme="minorHAnsi"/>
        </w:rPr>
      </w:pPr>
    </w:p>
    <w:p w14:paraId="3FAF8EA7" w14:textId="4D007528" w:rsidR="00123473" w:rsidRDefault="00123473" w:rsidP="003C4D0F">
      <w:pPr>
        <w:spacing w:after="0"/>
        <w:rPr>
          <w:rStyle w:val="Collegamentoipertestuale"/>
          <w:rFonts w:eastAsia="Calibri" w:cstheme="minorHAnsi"/>
        </w:rPr>
      </w:pPr>
    </w:p>
    <w:p w14:paraId="259B6D3A" w14:textId="77777777" w:rsidR="00123473" w:rsidRDefault="00123473" w:rsidP="003C4D0F">
      <w:pPr>
        <w:spacing w:after="0"/>
        <w:rPr>
          <w:rStyle w:val="Collegamentoipertestuale"/>
          <w:rFonts w:eastAsia="Calibri" w:cstheme="minorHAnsi"/>
        </w:rPr>
      </w:pPr>
    </w:p>
    <w:p w14:paraId="095FF102" w14:textId="0A6749ED" w:rsidR="00C1561D" w:rsidRDefault="00C1561D" w:rsidP="003C4D0F">
      <w:pPr>
        <w:spacing w:after="0"/>
        <w:rPr>
          <w:rStyle w:val="Collegamentoipertestuale"/>
          <w:rFonts w:eastAsia="Calibri" w:cstheme="minorHAnsi"/>
        </w:rPr>
      </w:pPr>
    </w:p>
    <w:p w14:paraId="378BB7DB" w14:textId="77777777" w:rsidR="00E83CDE" w:rsidRDefault="00E83CDE" w:rsidP="003C4D0F">
      <w:pPr>
        <w:spacing w:after="0"/>
        <w:rPr>
          <w:rStyle w:val="Collegamentoipertestuale"/>
          <w:rFonts w:eastAsia="Calibri" w:cstheme="minorHAnsi"/>
        </w:rPr>
      </w:pPr>
    </w:p>
    <w:p w14:paraId="770860DF" w14:textId="77777777" w:rsidR="00472CFC" w:rsidRDefault="00472CFC" w:rsidP="00C1561D">
      <w:pPr>
        <w:pStyle w:val="Didascalia"/>
        <w:suppressAutoHyphens/>
        <w:spacing w:before="120" w:after="400" w:line="276" w:lineRule="auto"/>
        <w:jc w:val="center"/>
        <w:rPr>
          <w:rFonts w:cstheme="minorHAnsi"/>
          <w:color w:val="00457D"/>
          <w:sz w:val="22"/>
          <w:szCs w:val="22"/>
        </w:rPr>
      </w:pPr>
    </w:p>
    <w:p w14:paraId="350E856E" w14:textId="7D566908" w:rsidR="00C1561D" w:rsidRPr="008E5A77" w:rsidRDefault="00C1561D" w:rsidP="00C82C39">
      <w:pPr>
        <w:pStyle w:val="Didascalia"/>
        <w:suppressAutoHyphens/>
        <w:spacing w:after="60" w:line="276" w:lineRule="auto"/>
        <w:jc w:val="center"/>
        <w:rPr>
          <w:rFonts w:cstheme="minorHAnsi"/>
          <w:color w:val="00457D"/>
          <w:sz w:val="22"/>
          <w:szCs w:val="22"/>
        </w:rPr>
      </w:pPr>
      <w:r w:rsidRPr="008E5A77">
        <w:rPr>
          <w:rFonts w:cstheme="minorHAnsi"/>
          <w:color w:val="00457D"/>
          <w:sz w:val="22"/>
          <w:szCs w:val="22"/>
        </w:rPr>
        <w:lastRenderedPageBreak/>
        <w:t>Tabella 1. NaDEF 2023: consuntivo 2022 e stime 2023-2026</w:t>
      </w:r>
    </w:p>
    <w:tbl>
      <w:tblPr>
        <w:tblW w:w="0" w:type="auto"/>
        <w:jc w:val="center"/>
        <w:shd w:val="clear" w:color="auto" w:fill="FFFFFF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1019"/>
        <w:gridCol w:w="1019"/>
        <w:gridCol w:w="1019"/>
        <w:gridCol w:w="1019"/>
        <w:gridCol w:w="1019"/>
      </w:tblGrid>
      <w:tr w:rsidR="00C1561D" w:rsidRPr="00285433" w14:paraId="6FDE4287" w14:textId="77777777" w:rsidTr="00C1561D">
        <w:trPr>
          <w:trHeight w:val="288"/>
          <w:jc w:val="center"/>
        </w:trPr>
        <w:tc>
          <w:tcPr>
            <w:tcW w:w="2837" w:type="dxa"/>
            <w:tcBorders>
              <w:top w:val="single" w:sz="8" w:space="0" w:color="00457D"/>
              <w:left w:val="single" w:sz="8" w:space="0" w:color="00457D"/>
              <w:bottom w:val="single" w:sz="8" w:space="0" w:color="00457D"/>
              <w:right w:val="single" w:sz="8" w:space="0" w:color="FFFFFF"/>
            </w:tcBorders>
            <w:shd w:val="clear" w:color="auto" w:fill="00457D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21AE99" w14:textId="77777777" w:rsidR="00C1561D" w:rsidRPr="00C82C39" w:rsidRDefault="00C1561D" w:rsidP="00C82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</w:p>
        </w:tc>
        <w:tc>
          <w:tcPr>
            <w:tcW w:w="1019" w:type="dxa"/>
            <w:tcBorders>
              <w:top w:val="single" w:sz="8" w:space="0" w:color="00457D"/>
              <w:left w:val="single" w:sz="4" w:space="0" w:color="FFFFFF" w:themeColor="background1"/>
              <w:bottom w:val="single" w:sz="8" w:space="0" w:color="00457D"/>
              <w:right w:val="single" w:sz="4" w:space="0" w:color="FFFFFF" w:themeColor="background1"/>
            </w:tcBorders>
            <w:shd w:val="clear" w:color="auto" w:fill="00457D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3CAB1" w14:textId="77777777" w:rsidR="00C1561D" w:rsidRPr="00C82C39" w:rsidRDefault="00C1561D" w:rsidP="00C82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C82C3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2022</w:t>
            </w:r>
          </w:p>
        </w:tc>
        <w:tc>
          <w:tcPr>
            <w:tcW w:w="1019" w:type="dxa"/>
            <w:tcBorders>
              <w:top w:val="single" w:sz="8" w:space="0" w:color="00457D"/>
              <w:left w:val="single" w:sz="4" w:space="0" w:color="FFFFFF" w:themeColor="background1"/>
              <w:bottom w:val="single" w:sz="8" w:space="0" w:color="00457D"/>
              <w:right w:val="single" w:sz="4" w:space="0" w:color="FFFFFF" w:themeColor="background1"/>
            </w:tcBorders>
            <w:shd w:val="clear" w:color="auto" w:fill="00457D"/>
          </w:tcPr>
          <w:p w14:paraId="19F3E176" w14:textId="77777777" w:rsidR="00C1561D" w:rsidRPr="00C82C39" w:rsidRDefault="00C1561D" w:rsidP="00C82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C82C3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2023</w:t>
            </w:r>
          </w:p>
        </w:tc>
        <w:tc>
          <w:tcPr>
            <w:tcW w:w="1019" w:type="dxa"/>
            <w:tcBorders>
              <w:top w:val="single" w:sz="8" w:space="0" w:color="00457D"/>
              <w:left w:val="single" w:sz="4" w:space="0" w:color="FFFFFF" w:themeColor="background1"/>
              <w:bottom w:val="single" w:sz="8" w:space="0" w:color="00457D"/>
              <w:right w:val="single" w:sz="4" w:space="0" w:color="FFFFFF" w:themeColor="background1"/>
            </w:tcBorders>
            <w:shd w:val="clear" w:color="auto" w:fill="00457D"/>
          </w:tcPr>
          <w:p w14:paraId="3C1D3AC4" w14:textId="77777777" w:rsidR="00C1561D" w:rsidRPr="00C82C39" w:rsidRDefault="00C1561D" w:rsidP="00C82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C82C3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2024</w:t>
            </w:r>
          </w:p>
        </w:tc>
        <w:tc>
          <w:tcPr>
            <w:tcW w:w="1019" w:type="dxa"/>
            <w:tcBorders>
              <w:top w:val="single" w:sz="8" w:space="0" w:color="00457D"/>
              <w:left w:val="single" w:sz="4" w:space="0" w:color="FFFFFF" w:themeColor="background1"/>
              <w:bottom w:val="single" w:sz="8" w:space="0" w:color="00457D"/>
              <w:right w:val="single" w:sz="8" w:space="0" w:color="00457D"/>
            </w:tcBorders>
            <w:shd w:val="clear" w:color="auto" w:fill="00457D"/>
          </w:tcPr>
          <w:p w14:paraId="4864554F" w14:textId="77777777" w:rsidR="00C1561D" w:rsidRPr="00C82C39" w:rsidRDefault="00C1561D" w:rsidP="00C82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C82C3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2025</w:t>
            </w:r>
          </w:p>
        </w:tc>
        <w:tc>
          <w:tcPr>
            <w:tcW w:w="1019" w:type="dxa"/>
            <w:tcBorders>
              <w:top w:val="single" w:sz="8" w:space="0" w:color="00457D"/>
              <w:left w:val="single" w:sz="4" w:space="0" w:color="FFFFFF" w:themeColor="background1"/>
              <w:bottom w:val="single" w:sz="8" w:space="0" w:color="00457D"/>
              <w:right w:val="single" w:sz="8" w:space="0" w:color="00457D"/>
            </w:tcBorders>
            <w:shd w:val="clear" w:color="auto" w:fill="00457D"/>
          </w:tcPr>
          <w:p w14:paraId="4C2984F3" w14:textId="77777777" w:rsidR="00C1561D" w:rsidRPr="00C82C39" w:rsidRDefault="00C1561D" w:rsidP="00C82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C82C3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2026</w:t>
            </w:r>
          </w:p>
        </w:tc>
      </w:tr>
      <w:tr w:rsidR="00C1561D" w:rsidRPr="00285433" w14:paraId="01653117" w14:textId="77777777" w:rsidTr="00C1561D">
        <w:trPr>
          <w:trHeight w:val="288"/>
          <w:jc w:val="center"/>
        </w:trPr>
        <w:tc>
          <w:tcPr>
            <w:tcW w:w="2837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B3698" w14:textId="77777777" w:rsidR="00C1561D" w:rsidRPr="00C82C39" w:rsidRDefault="00C1561D" w:rsidP="00C1561D">
            <w:pPr>
              <w:suppressAutoHyphens/>
              <w:spacing w:after="0" w:line="360" w:lineRule="auto"/>
              <w:rPr>
                <w:rFonts w:ascii="Calibri" w:hAnsi="Calibri" w:cs="Calibri"/>
                <w:color w:val="000000"/>
                <w:lang w:eastAsia="it-IT"/>
              </w:rPr>
            </w:pPr>
            <w:r w:rsidRPr="00C82C39">
              <w:rPr>
                <w:rFonts w:ascii="Calibri" w:hAnsi="Calibri" w:cs="Calibri"/>
                <w:color w:val="000000"/>
                <w:lang w:eastAsia="it-IT"/>
              </w:rPr>
              <w:t>Spesa sanitaria (milioni di €)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A414F" w14:textId="77777777" w:rsidR="00C1561D" w:rsidRPr="00C82C39" w:rsidRDefault="00C1561D" w:rsidP="00C1561D">
            <w:pPr>
              <w:suppressAutoHyphens/>
              <w:spacing w:after="0" w:line="360" w:lineRule="auto"/>
              <w:jc w:val="center"/>
              <w:rPr>
                <w:rFonts w:ascii="Calibri" w:hAnsi="Calibri" w:cs="Calibri"/>
                <w:lang w:eastAsia="it-IT"/>
              </w:rPr>
            </w:pPr>
            <w:r w:rsidRPr="00C82C39">
              <w:rPr>
                <w:rFonts w:ascii="Calibri" w:hAnsi="Calibri" w:cs="Calibri"/>
              </w:rPr>
              <w:t xml:space="preserve">131.103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FFFF"/>
          </w:tcPr>
          <w:p w14:paraId="1488303F" w14:textId="77777777" w:rsidR="00C1561D" w:rsidRPr="00C82C39" w:rsidRDefault="00C1561D" w:rsidP="00C1561D">
            <w:pPr>
              <w:suppressAutoHyphens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C82C39">
              <w:rPr>
                <w:rFonts w:ascii="Calibri" w:hAnsi="Calibri" w:cs="Calibri"/>
              </w:rPr>
              <w:t xml:space="preserve">134.734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FFFF"/>
          </w:tcPr>
          <w:p w14:paraId="47AF8B5F" w14:textId="77777777" w:rsidR="00C1561D" w:rsidRPr="00C82C39" w:rsidRDefault="00C1561D" w:rsidP="00C1561D">
            <w:pPr>
              <w:suppressAutoHyphens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C82C39">
              <w:rPr>
                <w:rFonts w:ascii="Calibri" w:hAnsi="Calibri" w:cs="Calibri"/>
              </w:rPr>
              <w:t xml:space="preserve">132.946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FFFF"/>
          </w:tcPr>
          <w:p w14:paraId="348294FA" w14:textId="77777777" w:rsidR="00C1561D" w:rsidRPr="00C82C39" w:rsidRDefault="00C1561D" w:rsidP="00C1561D">
            <w:pPr>
              <w:suppressAutoHyphens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C82C39">
              <w:rPr>
                <w:rFonts w:ascii="Calibri" w:hAnsi="Calibri" w:cs="Calibri"/>
              </w:rPr>
              <w:t>136.701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FFFF"/>
          </w:tcPr>
          <w:p w14:paraId="109A1004" w14:textId="77777777" w:rsidR="00C1561D" w:rsidRPr="00C82C39" w:rsidRDefault="00C1561D" w:rsidP="00C1561D">
            <w:pPr>
              <w:suppressAutoHyphens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C82C39">
              <w:rPr>
                <w:rFonts w:ascii="Calibri" w:hAnsi="Calibri" w:cs="Calibri"/>
              </w:rPr>
              <w:t>138.972</w:t>
            </w:r>
          </w:p>
        </w:tc>
      </w:tr>
      <w:tr w:rsidR="00C1561D" w:rsidRPr="00285433" w14:paraId="61EFA170" w14:textId="77777777" w:rsidTr="00C1561D">
        <w:trPr>
          <w:trHeight w:val="288"/>
          <w:jc w:val="center"/>
        </w:trPr>
        <w:tc>
          <w:tcPr>
            <w:tcW w:w="2837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8E559" w14:textId="77777777" w:rsidR="00C1561D" w:rsidRPr="00C82C39" w:rsidRDefault="00C1561D" w:rsidP="00C1561D">
            <w:pPr>
              <w:suppressAutoHyphens/>
              <w:spacing w:after="0" w:line="360" w:lineRule="auto"/>
              <w:rPr>
                <w:rFonts w:ascii="Calibri" w:hAnsi="Calibri" w:cs="Calibri"/>
                <w:color w:val="000000"/>
                <w:lang w:eastAsia="it-IT"/>
              </w:rPr>
            </w:pPr>
            <w:r w:rsidRPr="00C82C39">
              <w:rPr>
                <w:rFonts w:ascii="Calibri" w:hAnsi="Calibri" w:cs="Calibri"/>
                <w:color w:val="000000"/>
                <w:lang w:eastAsia="it-IT"/>
              </w:rPr>
              <w:t>Spesa sanitaria (% PIL)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33E55" w14:textId="77777777" w:rsidR="00C1561D" w:rsidRPr="00C82C39" w:rsidRDefault="00C1561D" w:rsidP="00C1561D">
            <w:pPr>
              <w:suppressAutoHyphens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C82C39">
              <w:rPr>
                <w:rFonts w:ascii="Calibri" w:hAnsi="Calibri" w:cs="Calibri"/>
              </w:rPr>
              <w:t>6,7%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FFFF"/>
          </w:tcPr>
          <w:p w14:paraId="531B0E4B" w14:textId="77777777" w:rsidR="00C1561D" w:rsidRPr="00C82C39" w:rsidRDefault="00C1561D" w:rsidP="00C1561D">
            <w:pPr>
              <w:suppressAutoHyphens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C82C39">
              <w:rPr>
                <w:rFonts w:ascii="Calibri" w:hAnsi="Calibri" w:cs="Calibri"/>
              </w:rPr>
              <w:t>6,6%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FFFF"/>
          </w:tcPr>
          <w:p w14:paraId="50003969" w14:textId="77777777" w:rsidR="00C1561D" w:rsidRPr="00C82C39" w:rsidRDefault="00C1561D" w:rsidP="00C1561D">
            <w:pPr>
              <w:suppressAutoHyphens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C82C39">
              <w:rPr>
                <w:rFonts w:ascii="Calibri" w:hAnsi="Calibri" w:cs="Calibri"/>
              </w:rPr>
              <w:t>6,2%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FFFF"/>
          </w:tcPr>
          <w:p w14:paraId="33A7515B" w14:textId="77777777" w:rsidR="00C1561D" w:rsidRPr="00C82C39" w:rsidRDefault="00C1561D" w:rsidP="00C1561D">
            <w:pPr>
              <w:suppressAutoHyphens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C82C39">
              <w:rPr>
                <w:rFonts w:ascii="Calibri" w:hAnsi="Calibri" w:cs="Calibri"/>
              </w:rPr>
              <w:t>6,2%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FFFF"/>
          </w:tcPr>
          <w:p w14:paraId="34E8CC3A" w14:textId="77777777" w:rsidR="00C1561D" w:rsidRPr="00C82C39" w:rsidRDefault="00C1561D" w:rsidP="00C1561D">
            <w:pPr>
              <w:suppressAutoHyphens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C82C39">
              <w:rPr>
                <w:rFonts w:ascii="Calibri" w:hAnsi="Calibri" w:cs="Calibri"/>
              </w:rPr>
              <w:t>6,1%</w:t>
            </w:r>
          </w:p>
        </w:tc>
      </w:tr>
      <w:tr w:rsidR="00C1561D" w:rsidRPr="00285433" w14:paraId="35227622" w14:textId="77777777" w:rsidTr="00C1561D">
        <w:trPr>
          <w:trHeight w:val="288"/>
          <w:jc w:val="center"/>
        </w:trPr>
        <w:tc>
          <w:tcPr>
            <w:tcW w:w="2837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1133C2" w14:textId="77777777" w:rsidR="00C1561D" w:rsidRPr="00C82C39" w:rsidRDefault="00C1561D" w:rsidP="00C1561D">
            <w:pPr>
              <w:suppressAutoHyphens/>
              <w:spacing w:after="0" w:line="360" w:lineRule="auto"/>
              <w:rPr>
                <w:rFonts w:ascii="Calibri" w:hAnsi="Calibri" w:cs="Calibri"/>
                <w:color w:val="000000"/>
                <w:lang w:eastAsia="it-IT"/>
              </w:rPr>
            </w:pPr>
            <w:r w:rsidRPr="00C82C39">
              <w:rPr>
                <w:rFonts w:ascii="Calibri" w:hAnsi="Calibri" w:cs="Calibri"/>
                <w:color w:val="000000"/>
                <w:lang w:eastAsia="it-IT"/>
              </w:rPr>
              <w:t>Tasso di variazione in 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B6CCC" w14:textId="0357ACFD" w:rsidR="00C1561D" w:rsidRPr="00C82C39" w:rsidRDefault="00285433" w:rsidP="00C1561D">
            <w:pPr>
              <w:suppressAutoHyphens/>
              <w:spacing w:after="0" w:line="360" w:lineRule="auto"/>
              <w:jc w:val="center"/>
              <w:rPr>
                <w:rFonts w:ascii="Calibri" w:hAnsi="Calibri" w:cs="Calibri"/>
                <w:color w:val="FF0000"/>
              </w:rPr>
            </w:pPr>
            <w:r w:rsidRPr="00AA7E64">
              <w:rPr>
                <w:rFonts w:ascii="Calibri" w:hAnsi="Calibri" w:cs="Calibri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FFFF"/>
          </w:tcPr>
          <w:p w14:paraId="0789A75A" w14:textId="77777777" w:rsidR="00C1561D" w:rsidRPr="00C82C39" w:rsidRDefault="00C1561D" w:rsidP="00C1561D">
            <w:pPr>
              <w:suppressAutoHyphens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C82C39">
              <w:rPr>
                <w:rFonts w:ascii="Calibri" w:hAnsi="Calibri" w:cs="Calibri"/>
              </w:rPr>
              <w:t>2,8%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FFFF"/>
          </w:tcPr>
          <w:p w14:paraId="46E5E7FC" w14:textId="77777777" w:rsidR="00C1561D" w:rsidRPr="00C82C39" w:rsidRDefault="00C1561D" w:rsidP="00C1561D">
            <w:pPr>
              <w:suppressAutoHyphens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C82C39">
              <w:rPr>
                <w:rFonts w:ascii="Calibri" w:hAnsi="Calibri" w:cs="Calibri"/>
              </w:rPr>
              <w:t>-1,3%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FFFF"/>
          </w:tcPr>
          <w:p w14:paraId="7D01828A" w14:textId="77777777" w:rsidR="00C1561D" w:rsidRPr="00C82C39" w:rsidRDefault="00C1561D" w:rsidP="00C1561D">
            <w:pPr>
              <w:suppressAutoHyphens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C82C39">
              <w:rPr>
                <w:rFonts w:ascii="Calibri" w:hAnsi="Calibri" w:cs="Calibri"/>
              </w:rPr>
              <w:t>2,8%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FFFF"/>
          </w:tcPr>
          <w:p w14:paraId="3DF9D9B9" w14:textId="77777777" w:rsidR="00C1561D" w:rsidRPr="00C82C39" w:rsidRDefault="00C1561D" w:rsidP="00C1561D">
            <w:pPr>
              <w:suppressAutoHyphens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C82C39">
              <w:rPr>
                <w:rFonts w:ascii="Calibri" w:hAnsi="Calibri" w:cs="Calibri"/>
              </w:rPr>
              <w:t>1,7%</w:t>
            </w:r>
          </w:p>
        </w:tc>
      </w:tr>
    </w:tbl>
    <w:p w14:paraId="5B570959" w14:textId="2470545C" w:rsidR="00C1561D" w:rsidRDefault="00C1561D" w:rsidP="003C4D0F">
      <w:pPr>
        <w:spacing w:after="0"/>
        <w:rPr>
          <w:rStyle w:val="Collegamentoipertestuale"/>
          <w:rFonts w:eastAsia="Calibri" w:cstheme="minorHAnsi"/>
        </w:rPr>
      </w:pPr>
    </w:p>
    <w:p w14:paraId="04611907" w14:textId="77777777" w:rsidR="00E83CDE" w:rsidRDefault="00E83CDE" w:rsidP="003C4D0F">
      <w:pPr>
        <w:spacing w:after="0"/>
        <w:rPr>
          <w:rStyle w:val="Collegamentoipertestuale"/>
          <w:rFonts w:eastAsia="Calibri" w:cstheme="minorHAnsi"/>
        </w:rPr>
      </w:pPr>
    </w:p>
    <w:p w14:paraId="4D54E88B" w14:textId="0E4CC934" w:rsidR="00C1561D" w:rsidRPr="00C604D6" w:rsidRDefault="00C1561D" w:rsidP="00C82C39">
      <w:pPr>
        <w:pStyle w:val="Didascalia"/>
        <w:suppressAutoHyphens/>
        <w:spacing w:after="60" w:line="276" w:lineRule="auto"/>
        <w:jc w:val="center"/>
        <w:rPr>
          <w:rFonts w:cstheme="minorHAnsi"/>
          <w:color w:val="00457D"/>
          <w:sz w:val="22"/>
          <w:szCs w:val="22"/>
        </w:rPr>
      </w:pPr>
      <w:r w:rsidRPr="00C604D6">
        <w:rPr>
          <w:rFonts w:cstheme="minorHAnsi"/>
          <w:color w:val="00457D"/>
          <w:sz w:val="22"/>
          <w:szCs w:val="22"/>
        </w:rPr>
        <w:t>Tabella 2. Spesa sanitaria: differenza tra le stime della NaDEF 2023 e quelle del DEF 2023</w:t>
      </w:r>
    </w:p>
    <w:tbl>
      <w:tblPr>
        <w:tblW w:w="7926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3"/>
        <w:gridCol w:w="1105"/>
        <w:gridCol w:w="1106"/>
        <w:gridCol w:w="1106"/>
        <w:gridCol w:w="1106"/>
      </w:tblGrid>
      <w:tr w:rsidR="00285433" w:rsidRPr="00E83CDE" w14:paraId="368A360F" w14:textId="77777777" w:rsidTr="00C82C39">
        <w:trPr>
          <w:trHeight w:val="365"/>
          <w:jc w:val="center"/>
        </w:trPr>
        <w:tc>
          <w:tcPr>
            <w:tcW w:w="3503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59405E7" w14:textId="77777777" w:rsidR="00285433" w:rsidRPr="00E83CDE" w:rsidRDefault="00285433" w:rsidP="00427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Spesa sanitaria (milioni di €)</w:t>
            </w:r>
          </w:p>
        </w:tc>
        <w:tc>
          <w:tcPr>
            <w:tcW w:w="11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AB35E43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2023</w:t>
            </w:r>
          </w:p>
        </w:tc>
        <w:tc>
          <w:tcPr>
            <w:tcW w:w="11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E340708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2024</w:t>
            </w:r>
          </w:p>
        </w:tc>
        <w:tc>
          <w:tcPr>
            <w:tcW w:w="11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CFE9DD0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2025</w:t>
            </w:r>
          </w:p>
        </w:tc>
        <w:tc>
          <w:tcPr>
            <w:tcW w:w="1106" w:type="dxa"/>
            <w:tcBorders>
              <w:left w:val="single" w:sz="4" w:space="0" w:color="FFFFFF" w:themeColor="background1"/>
              <w:right w:val="single" w:sz="4" w:space="0" w:color="00457D"/>
            </w:tcBorders>
            <w:shd w:val="clear" w:color="auto" w:fill="00457D"/>
            <w:vAlign w:val="center"/>
          </w:tcPr>
          <w:p w14:paraId="7EF92194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2026</w:t>
            </w:r>
          </w:p>
        </w:tc>
      </w:tr>
      <w:tr w:rsidR="00285433" w:rsidRPr="00E83CDE" w14:paraId="2C10B4A3" w14:textId="77777777" w:rsidTr="00C82C39">
        <w:trPr>
          <w:trHeight w:val="365"/>
          <w:jc w:val="center"/>
        </w:trPr>
        <w:tc>
          <w:tcPr>
            <w:tcW w:w="3503" w:type="dxa"/>
            <w:shd w:val="clear" w:color="auto" w:fill="auto"/>
            <w:noWrap/>
            <w:vAlign w:val="center"/>
            <w:hideMark/>
          </w:tcPr>
          <w:p w14:paraId="6F48AAB3" w14:textId="77777777" w:rsidR="00285433" w:rsidRPr="00E83CDE" w:rsidRDefault="00285433" w:rsidP="0042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color w:val="000000"/>
                <w:lang w:eastAsia="it-IT"/>
              </w:rPr>
              <w:t>DEF 2023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C97948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  <w:color w:val="000000"/>
                <w:lang w:eastAsia="it-IT"/>
              </w:rPr>
              <w:t>136.043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93E9A7F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  <w:color w:val="000000"/>
                <w:lang w:eastAsia="it-IT"/>
              </w:rPr>
              <w:t>132.737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1B9BDB9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  <w:color w:val="000000"/>
                <w:lang w:eastAsia="it-IT"/>
              </w:rPr>
              <w:t>135.034</w:t>
            </w:r>
          </w:p>
        </w:tc>
        <w:tc>
          <w:tcPr>
            <w:tcW w:w="1106" w:type="dxa"/>
            <w:vAlign w:val="center"/>
          </w:tcPr>
          <w:p w14:paraId="3DB035E7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  <w:color w:val="000000"/>
                <w:lang w:eastAsia="it-IT"/>
              </w:rPr>
              <w:t>138.399</w:t>
            </w:r>
          </w:p>
        </w:tc>
      </w:tr>
      <w:tr w:rsidR="00285433" w:rsidRPr="00E83CDE" w14:paraId="32E76AB2" w14:textId="77777777" w:rsidTr="00C82C39">
        <w:trPr>
          <w:trHeight w:val="365"/>
          <w:jc w:val="center"/>
        </w:trPr>
        <w:tc>
          <w:tcPr>
            <w:tcW w:w="3503" w:type="dxa"/>
            <w:shd w:val="clear" w:color="auto" w:fill="auto"/>
            <w:noWrap/>
            <w:vAlign w:val="center"/>
            <w:hideMark/>
          </w:tcPr>
          <w:p w14:paraId="17EEA344" w14:textId="77777777" w:rsidR="00285433" w:rsidRPr="00E83CDE" w:rsidRDefault="00285433" w:rsidP="0042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color w:val="000000"/>
                <w:lang w:eastAsia="it-IT"/>
              </w:rPr>
              <w:t>NaDEF 2023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8FA1735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134.734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D592C3C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132.946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102EDCA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136.701</w:t>
            </w:r>
          </w:p>
        </w:tc>
        <w:tc>
          <w:tcPr>
            <w:tcW w:w="1106" w:type="dxa"/>
            <w:vAlign w:val="center"/>
          </w:tcPr>
          <w:p w14:paraId="386918C1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138.972</w:t>
            </w:r>
          </w:p>
        </w:tc>
      </w:tr>
      <w:tr w:rsidR="00285433" w:rsidRPr="00E83CDE" w14:paraId="0AB3AD62" w14:textId="77777777" w:rsidTr="00C82C39">
        <w:trPr>
          <w:trHeight w:val="365"/>
          <w:jc w:val="center"/>
        </w:trPr>
        <w:tc>
          <w:tcPr>
            <w:tcW w:w="3503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2F50C8C" w14:textId="77777777" w:rsidR="00285433" w:rsidRPr="00E83CDE" w:rsidRDefault="00285433" w:rsidP="00427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2" w:name="_Hlk147044877"/>
            <w:r w:rsidRPr="00E83CDE">
              <w:rPr>
                <w:rFonts w:ascii="Calibri" w:eastAsia="Times New Roman" w:hAnsi="Calibri" w:cs="Calibri"/>
                <w:color w:val="000000"/>
                <w:lang w:eastAsia="it-IT"/>
              </w:rPr>
              <w:t>Differenza</w:t>
            </w:r>
          </w:p>
        </w:tc>
        <w:tc>
          <w:tcPr>
            <w:tcW w:w="1105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DEF478D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-1.309</w:t>
            </w:r>
          </w:p>
        </w:tc>
        <w:tc>
          <w:tcPr>
            <w:tcW w:w="1106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F98CD42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83CDE">
              <w:rPr>
                <w:rFonts w:ascii="Calibri" w:hAnsi="Calibri" w:cs="Calibri"/>
              </w:rPr>
              <w:t>209</w:t>
            </w:r>
          </w:p>
        </w:tc>
        <w:tc>
          <w:tcPr>
            <w:tcW w:w="1106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4071912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83CDE">
              <w:rPr>
                <w:rFonts w:ascii="Calibri" w:hAnsi="Calibri" w:cs="Calibri"/>
              </w:rPr>
              <w:t>1.667</w:t>
            </w:r>
          </w:p>
        </w:tc>
        <w:tc>
          <w:tcPr>
            <w:tcW w:w="1106" w:type="dxa"/>
            <w:tcBorders>
              <w:bottom w:val="single" w:sz="4" w:space="0" w:color="00457D"/>
            </w:tcBorders>
            <w:vAlign w:val="center"/>
          </w:tcPr>
          <w:p w14:paraId="5F5994F0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E83CDE">
              <w:rPr>
                <w:rFonts w:ascii="Calibri" w:hAnsi="Calibri" w:cs="Calibri"/>
              </w:rPr>
              <w:t>573</w:t>
            </w:r>
          </w:p>
        </w:tc>
      </w:tr>
      <w:bookmarkEnd w:id="2"/>
      <w:tr w:rsidR="00285433" w:rsidRPr="00E83CDE" w14:paraId="626D3820" w14:textId="77777777" w:rsidTr="00C82C39">
        <w:trPr>
          <w:trHeight w:val="365"/>
          <w:jc w:val="center"/>
        </w:trPr>
        <w:tc>
          <w:tcPr>
            <w:tcW w:w="3503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A0F3530" w14:textId="77777777" w:rsidR="00285433" w:rsidRPr="00E83CDE" w:rsidRDefault="00285433" w:rsidP="00427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Spesa sanitaria (% PIL)</w:t>
            </w:r>
          </w:p>
        </w:tc>
        <w:tc>
          <w:tcPr>
            <w:tcW w:w="11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47828D6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2023</w:t>
            </w:r>
          </w:p>
        </w:tc>
        <w:tc>
          <w:tcPr>
            <w:tcW w:w="11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0C36EA3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2024</w:t>
            </w:r>
          </w:p>
        </w:tc>
        <w:tc>
          <w:tcPr>
            <w:tcW w:w="11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4783556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2025</w:t>
            </w:r>
          </w:p>
        </w:tc>
        <w:tc>
          <w:tcPr>
            <w:tcW w:w="1106" w:type="dxa"/>
            <w:tcBorders>
              <w:left w:val="single" w:sz="4" w:space="0" w:color="FFFFFF" w:themeColor="background1"/>
              <w:right w:val="single" w:sz="4" w:space="0" w:color="00457D"/>
            </w:tcBorders>
            <w:shd w:val="clear" w:color="auto" w:fill="00457D"/>
            <w:vAlign w:val="center"/>
          </w:tcPr>
          <w:p w14:paraId="22A30115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2026</w:t>
            </w:r>
          </w:p>
        </w:tc>
      </w:tr>
      <w:tr w:rsidR="00285433" w:rsidRPr="00E83CDE" w14:paraId="1FAA8521" w14:textId="77777777" w:rsidTr="00C82C39">
        <w:trPr>
          <w:trHeight w:val="365"/>
          <w:jc w:val="center"/>
        </w:trPr>
        <w:tc>
          <w:tcPr>
            <w:tcW w:w="3503" w:type="dxa"/>
            <w:shd w:val="clear" w:color="auto" w:fill="auto"/>
            <w:noWrap/>
            <w:vAlign w:val="center"/>
            <w:hideMark/>
          </w:tcPr>
          <w:p w14:paraId="130F17FE" w14:textId="77777777" w:rsidR="00285433" w:rsidRPr="00E83CDE" w:rsidRDefault="00285433" w:rsidP="0042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color w:val="000000"/>
                <w:lang w:eastAsia="it-IT"/>
              </w:rPr>
              <w:t>DEF 2023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518221F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6,7%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9E1D79A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6,3%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8190EB3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6,2%</w:t>
            </w:r>
          </w:p>
        </w:tc>
        <w:tc>
          <w:tcPr>
            <w:tcW w:w="1106" w:type="dxa"/>
            <w:vAlign w:val="center"/>
          </w:tcPr>
          <w:p w14:paraId="7455EE79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6,2%</w:t>
            </w:r>
          </w:p>
        </w:tc>
      </w:tr>
      <w:tr w:rsidR="00285433" w:rsidRPr="00E83CDE" w14:paraId="4239D000" w14:textId="77777777" w:rsidTr="00C82C39">
        <w:trPr>
          <w:trHeight w:val="365"/>
          <w:jc w:val="center"/>
        </w:trPr>
        <w:tc>
          <w:tcPr>
            <w:tcW w:w="3503" w:type="dxa"/>
            <w:shd w:val="clear" w:color="auto" w:fill="auto"/>
            <w:noWrap/>
            <w:vAlign w:val="center"/>
            <w:hideMark/>
          </w:tcPr>
          <w:p w14:paraId="6BC20F7D" w14:textId="77777777" w:rsidR="00285433" w:rsidRPr="00E83CDE" w:rsidRDefault="00285433" w:rsidP="0042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color w:val="000000"/>
                <w:lang w:eastAsia="it-IT"/>
              </w:rPr>
              <w:t>NaDEF 2023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D919B6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6,6%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9BC12CA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6,2%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F29A7A5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6,2%</w:t>
            </w:r>
          </w:p>
        </w:tc>
        <w:tc>
          <w:tcPr>
            <w:tcW w:w="1106" w:type="dxa"/>
            <w:vAlign w:val="center"/>
          </w:tcPr>
          <w:p w14:paraId="7C116417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6,1%</w:t>
            </w:r>
          </w:p>
        </w:tc>
      </w:tr>
      <w:tr w:rsidR="00285433" w:rsidRPr="00E83CDE" w14:paraId="0DB37295" w14:textId="77777777" w:rsidTr="00C82C39">
        <w:trPr>
          <w:trHeight w:val="365"/>
          <w:jc w:val="center"/>
        </w:trPr>
        <w:tc>
          <w:tcPr>
            <w:tcW w:w="3503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EED5D67" w14:textId="77777777" w:rsidR="00285433" w:rsidRPr="00E83CDE" w:rsidRDefault="00285433" w:rsidP="00427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color w:val="000000"/>
                <w:lang w:eastAsia="it-IT"/>
              </w:rPr>
              <w:t>Differenza</w:t>
            </w:r>
          </w:p>
        </w:tc>
        <w:tc>
          <w:tcPr>
            <w:tcW w:w="1105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325043F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-0,1%</w:t>
            </w:r>
          </w:p>
        </w:tc>
        <w:tc>
          <w:tcPr>
            <w:tcW w:w="1106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E20B7D5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83CDE">
              <w:rPr>
                <w:rFonts w:ascii="Calibri" w:hAnsi="Calibri" w:cs="Calibri"/>
              </w:rPr>
              <w:t>-0,1%</w:t>
            </w:r>
          </w:p>
        </w:tc>
        <w:tc>
          <w:tcPr>
            <w:tcW w:w="1106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8394324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83CDE">
              <w:rPr>
                <w:rFonts w:ascii="Calibri" w:hAnsi="Calibri" w:cs="Calibri"/>
              </w:rPr>
              <w:t>0%</w:t>
            </w:r>
          </w:p>
        </w:tc>
        <w:tc>
          <w:tcPr>
            <w:tcW w:w="1106" w:type="dxa"/>
            <w:tcBorders>
              <w:bottom w:val="single" w:sz="4" w:space="0" w:color="00457D"/>
            </w:tcBorders>
            <w:vAlign w:val="center"/>
          </w:tcPr>
          <w:p w14:paraId="07D190FA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83CDE">
              <w:rPr>
                <w:rFonts w:ascii="Calibri" w:hAnsi="Calibri" w:cs="Calibri"/>
              </w:rPr>
              <w:t>-0,1%</w:t>
            </w:r>
          </w:p>
        </w:tc>
      </w:tr>
      <w:tr w:rsidR="00285433" w:rsidRPr="00E83CDE" w14:paraId="5820D3A6" w14:textId="77777777" w:rsidTr="00C82C39">
        <w:trPr>
          <w:trHeight w:val="365"/>
          <w:jc w:val="center"/>
        </w:trPr>
        <w:tc>
          <w:tcPr>
            <w:tcW w:w="3503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83F749A" w14:textId="77777777" w:rsidR="00285433" w:rsidRPr="00E83CDE" w:rsidRDefault="00285433" w:rsidP="00427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Tasso di variazione in %</w:t>
            </w:r>
          </w:p>
        </w:tc>
        <w:tc>
          <w:tcPr>
            <w:tcW w:w="11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56913CE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2023</w:t>
            </w:r>
          </w:p>
        </w:tc>
        <w:tc>
          <w:tcPr>
            <w:tcW w:w="11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B29BA33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2024</w:t>
            </w:r>
          </w:p>
        </w:tc>
        <w:tc>
          <w:tcPr>
            <w:tcW w:w="11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AD913D0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2025</w:t>
            </w:r>
          </w:p>
        </w:tc>
        <w:tc>
          <w:tcPr>
            <w:tcW w:w="1106" w:type="dxa"/>
            <w:tcBorders>
              <w:left w:val="single" w:sz="4" w:space="0" w:color="FFFFFF" w:themeColor="background1"/>
              <w:right w:val="single" w:sz="4" w:space="0" w:color="00457D"/>
            </w:tcBorders>
            <w:shd w:val="clear" w:color="auto" w:fill="00457D"/>
            <w:vAlign w:val="center"/>
          </w:tcPr>
          <w:p w14:paraId="24D9F1E0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2026</w:t>
            </w:r>
          </w:p>
        </w:tc>
      </w:tr>
      <w:tr w:rsidR="00285433" w:rsidRPr="00E83CDE" w14:paraId="2B4F6456" w14:textId="77777777" w:rsidTr="00C82C39">
        <w:trPr>
          <w:trHeight w:val="365"/>
          <w:jc w:val="center"/>
        </w:trPr>
        <w:tc>
          <w:tcPr>
            <w:tcW w:w="3503" w:type="dxa"/>
            <w:shd w:val="clear" w:color="auto" w:fill="auto"/>
            <w:noWrap/>
            <w:vAlign w:val="center"/>
            <w:hideMark/>
          </w:tcPr>
          <w:p w14:paraId="7E6466C3" w14:textId="77777777" w:rsidR="00285433" w:rsidRPr="00E83CDE" w:rsidRDefault="00285433" w:rsidP="0042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color w:val="000000"/>
                <w:lang w:eastAsia="it-IT"/>
              </w:rPr>
              <w:t>DEF 2023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C73069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3,8%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09929CD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-2,4%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EE56879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1,7%</w:t>
            </w:r>
          </w:p>
        </w:tc>
        <w:tc>
          <w:tcPr>
            <w:tcW w:w="1106" w:type="dxa"/>
            <w:vAlign w:val="center"/>
          </w:tcPr>
          <w:p w14:paraId="41E5E357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2,5%</w:t>
            </w:r>
          </w:p>
        </w:tc>
      </w:tr>
      <w:tr w:rsidR="00285433" w:rsidRPr="00E83CDE" w14:paraId="2BFC91C5" w14:textId="77777777" w:rsidTr="00C82C39">
        <w:trPr>
          <w:trHeight w:val="365"/>
          <w:jc w:val="center"/>
        </w:trPr>
        <w:tc>
          <w:tcPr>
            <w:tcW w:w="3503" w:type="dxa"/>
            <w:shd w:val="clear" w:color="auto" w:fill="auto"/>
            <w:noWrap/>
            <w:vAlign w:val="center"/>
            <w:hideMark/>
          </w:tcPr>
          <w:p w14:paraId="1FC90804" w14:textId="77777777" w:rsidR="00285433" w:rsidRPr="00E83CDE" w:rsidRDefault="00285433" w:rsidP="0042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color w:val="000000"/>
                <w:lang w:eastAsia="it-IT"/>
              </w:rPr>
              <w:t>NaDEF 2023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4553F2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2,8%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4B26A98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-1,3%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BB0107B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2,8%</w:t>
            </w:r>
          </w:p>
        </w:tc>
        <w:tc>
          <w:tcPr>
            <w:tcW w:w="1106" w:type="dxa"/>
            <w:vAlign w:val="center"/>
          </w:tcPr>
          <w:p w14:paraId="7C74E831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1,7%</w:t>
            </w:r>
          </w:p>
        </w:tc>
      </w:tr>
      <w:tr w:rsidR="00285433" w:rsidRPr="00E83CDE" w14:paraId="034D67AB" w14:textId="77777777" w:rsidTr="00C82C39">
        <w:trPr>
          <w:trHeight w:val="365"/>
          <w:jc w:val="center"/>
        </w:trPr>
        <w:tc>
          <w:tcPr>
            <w:tcW w:w="3503" w:type="dxa"/>
            <w:shd w:val="clear" w:color="auto" w:fill="auto"/>
            <w:noWrap/>
            <w:vAlign w:val="center"/>
            <w:hideMark/>
          </w:tcPr>
          <w:p w14:paraId="1370F0AF" w14:textId="77777777" w:rsidR="00285433" w:rsidRPr="00E83CDE" w:rsidRDefault="00285433" w:rsidP="00427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eastAsia="Times New Roman" w:hAnsi="Calibri" w:cs="Calibri"/>
                <w:color w:val="000000"/>
                <w:lang w:eastAsia="it-IT"/>
              </w:rPr>
              <w:t>Differenza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CE334D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CDE">
              <w:rPr>
                <w:rFonts w:ascii="Calibri" w:hAnsi="Calibri" w:cs="Calibri"/>
              </w:rPr>
              <w:t>-1%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79306FB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E83CDE">
              <w:rPr>
                <w:rFonts w:ascii="Calibri" w:hAnsi="Calibri" w:cs="Calibri"/>
              </w:rPr>
              <w:t>1,1%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E7FCEAE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E83CDE">
              <w:rPr>
                <w:rFonts w:ascii="Calibri" w:hAnsi="Calibri" w:cs="Calibri"/>
              </w:rPr>
              <w:t>1,1%</w:t>
            </w:r>
          </w:p>
        </w:tc>
        <w:tc>
          <w:tcPr>
            <w:tcW w:w="1106" w:type="dxa"/>
            <w:vAlign w:val="center"/>
          </w:tcPr>
          <w:p w14:paraId="6828E105" w14:textId="77777777" w:rsidR="00285433" w:rsidRPr="00E83CDE" w:rsidRDefault="00285433" w:rsidP="0042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83CDE">
              <w:rPr>
                <w:rFonts w:ascii="Calibri" w:hAnsi="Calibri" w:cs="Calibri"/>
              </w:rPr>
              <w:t>-0,8%</w:t>
            </w:r>
          </w:p>
        </w:tc>
      </w:tr>
    </w:tbl>
    <w:p w14:paraId="64071CB4" w14:textId="20E1EC4B" w:rsidR="009117A8" w:rsidRDefault="009117A8" w:rsidP="00F306F9">
      <w:pPr>
        <w:spacing w:after="0"/>
        <w:rPr>
          <w:rStyle w:val="Collegamentoipertestuale"/>
          <w:rFonts w:eastAsia="Calibri" w:cstheme="minorHAnsi"/>
        </w:rPr>
      </w:pPr>
    </w:p>
    <w:sectPr w:rsidR="009117A8" w:rsidSect="005D78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5D741" w14:textId="77777777" w:rsidR="00FE0E13" w:rsidRDefault="00FE0E13" w:rsidP="00ED0CFD">
      <w:pPr>
        <w:spacing w:after="0" w:line="240" w:lineRule="auto"/>
      </w:pPr>
      <w:r>
        <w:separator/>
      </w:r>
    </w:p>
  </w:endnote>
  <w:endnote w:type="continuationSeparator" w:id="0">
    <w:p w14:paraId="3352BFC1" w14:textId="77777777" w:rsidR="00FE0E13" w:rsidRDefault="00FE0E13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02B24" w14:textId="77777777" w:rsidR="00FE0E13" w:rsidRDefault="00FE0E13" w:rsidP="00ED0CFD">
      <w:pPr>
        <w:spacing w:after="0" w:line="240" w:lineRule="auto"/>
      </w:pPr>
      <w:r>
        <w:separator/>
      </w:r>
    </w:p>
  </w:footnote>
  <w:footnote w:type="continuationSeparator" w:id="0">
    <w:p w14:paraId="0B98F083" w14:textId="77777777" w:rsidR="00FE0E13" w:rsidRDefault="00FE0E13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2DD"/>
    <w:multiLevelType w:val="hybridMultilevel"/>
    <w:tmpl w:val="78A828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4577D"/>
    <w:multiLevelType w:val="hybridMultilevel"/>
    <w:tmpl w:val="230A9B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A786B"/>
    <w:multiLevelType w:val="hybridMultilevel"/>
    <w:tmpl w:val="28BCFFFA"/>
    <w:lvl w:ilvl="0" w:tplc="4740ED1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E41C2"/>
    <w:multiLevelType w:val="hybridMultilevel"/>
    <w:tmpl w:val="FB4672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37156"/>
    <w:multiLevelType w:val="hybridMultilevel"/>
    <w:tmpl w:val="79088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00356"/>
    <w:multiLevelType w:val="hybridMultilevel"/>
    <w:tmpl w:val="6EA076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5834C7"/>
    <w:multiLevelType w:val="hybridMultilevel"/>
    <w:tmpl w:val="C7FEF9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422E1E"/>
    <w:multiLevelType w:val="hybridMultilevel"/>
    <w:tmpl w:val="4078C398"/>
    <w:lvl w:ilvl="0" w:tplc="6EAC59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B7053B2"/>
    <w:multiLevelType w:val="multilevel"/>
    <w:tmpl w:val="41304E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DE93405"/>
    <w:multiLevelType w:val="hybridMultilevel"/>
    <w:tmpl w:val="60A285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F65B8"/>
    <w:multiLevelType w:val="hybridMultilevel"/>
    <w:tmpl w:val="FBD6C8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F7B30"/>
    <w:multiLevelType w:val="hybridMultilevel"/>
    <w:tmpl w:val="7AD49A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C750FB"/>
    <w:multiLevelType w:val="hybridMultilevel"/>
    <w:tmpl w:val="D6FAC658"/>
    <w:lvl w:ilvl="0" w:tplc="841C8710">
      <w:start w:val="12"/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CA42AD"/>
    <w:multiLevelType w:val="hybridMultilevel"/>
    <w:tmpl w:val="C33EAF14"/>
    <w:lvl w:ilvl="0" w:tplc="0FBE3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75CED"/>
    <w:multiLevelType w:val="hybridMultilevel"/>
    <w:tmpl w:val="82E630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AB5662"/>
    <w:multiLevelType w:val="hybridMultilevel"/>
    <w:tmpl w:val="76D4F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B9081F"/>
    <w:multiLevelType w:val="hybridMultilevel"/>
    <w:tmpl w:val="53C89C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0E5A6C"/>
    <w:multiLevelType w:val="hybridMultilevel"/>
    <w:tmpl w:val="5D7CB6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EE7716"/>
    <w:multiLevelType w:val="hybridMultilevel"/>
    <w:tmpl w:val="B2969C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FE2386"/>
    <w:multiLevelType w:val="hybridMultilevel"/>
    <w:tmpl w:val="FABA43D0"/>
    <w:lvl w:ilvl="0" w:tplc="841C8710">
      <w:start w:val="12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3"/>
  </w:num>
  <w:num w:numId="3">
    <w:abstractNumId w:val="17"/>
  </w:num>
  <w:num w:numId="4">
    <w:abstractNumId w:val="34"/>
  </w:num>
  <w:num w:numId="5">
    <w:abstractNumId w:val="21"/>
  </w:num>
  <w:num w:numId="6">
    <w:abstractNumId w:val="16"/>
  </w:num>
  <w:num w:numId="7">
    <w:abstractNumId w:val="30"/>
  </w:num>
  <w:num w:numId="8">
    <w:abstractNumId w:val="28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  <w:num w:numId="13">
    <w:abstractNumId w:val="24"/>
  </w:num>
  <w:num w:numId="14">
    <w:abstractNumId w:val="6"/>
  </w:num>
  <w:num w:numId="15">
    <w:abstractNumId w:val="23"/>
  </w:num>
  <w:num w:numId="16">
    <w:abstractNumId w:val="36"/>
  </w:num>
  <w:num w:numId="17">
    <w:abstractNumId w:val="18"/>
  </w:num>
  <w:num w:numId="18">
    <w:abstractNumId w:val="14"/>
  </w:num>
  <w:num w:numId="19">
    <w:abstractNumId w:val="32"/>
  </w:num>
  <w:num w:numId="20">
    <w:abstractNumId w:val="29"/>
  </w:num>
  <w:num w:numId="21">
    <w:abstractNumId w:val="5"/>
  </w:num>
  <w:num w:numId="22">
    <w:abstractNumId w:val="26"/>
  </w:num>
  <w:num w:numId="23">
    <w:abstractNumId w:val="15"/>
  </w:num>
  <w:num w:numId="24">
    <w:abstractNumId w:val="38"/>
  </w:num>
  <w:num w:numId="25">
    <w:abstractNumId w:val="43"/>
  </w:num>
  <w:num w:numId="26">
    <w:abstractNumId w:val="31"/>
  </w:num>
  <w:num w:numId="27">
    <w:abstractNumId w:val="12"/>
  </w:num>
  <w:num w:numId="28">
    <w:abstractNumId w:val="19"/>
  </w:num>
  <w:num w:numId="29">
    <w:abstractNumId w:val="41"/>
  </w:num>
  <w:num w:numId="30">
    <w:abstractNumId w:val="9"/>
  </w:num>
  <w:num w:numId="31">
    <w:abstractNumId w:val="40"/>
  </w:num>
  <w:num w:numId="32">
    <w:abstractNumId w:val="42"/>
  </w:num>
  <w:num w:numId="33">
    <w:abstractNumId w:val="27"/>
  </w:num>
  <w:num w:numId="34">
    <w:abstractNumId w:val="13"/>
  </w:num>
  <w:num w:numId="35">
    <w:abstractNumId w:val="20"/>
  </w:num>
  <w:num w:numId="36">
    <w:abstractNumId w:val="1"/>
  </w:num>
  <w:num w:numId="37">
    <w:abstractNumId w:val="37"/>
  </w:num>
  <w:num w:numId="38">
    <w:abstractNumId w:val="22"/>
  </w:num>
  <w:num w:numId="39">
    <w:abstractNumId w:val="25"/>
  </w:num>
  <w:num w:numId="40">
    <w:abstractNumId w:val="0"/>
  </w:num>
  <w:num w:numId="41">
    <w:abstractNumId w:val="10"/>
  </w:num>
  <w:num w:numId="42">
    <w:abstractNumId w:val="2"/>
  </w:num>
  <w:num w:numId="43">
    <w:abstractNumId w:val="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49C"/>
    <w:rsid w:val="00002AAC"/>
    <w:rsid w:val="00002C1B"/>
    <w:rsid w:val="00002EC3"/>
    <w:rsid w:val="00003615"/>
    <w:rsid w:val="00003744"/>
    <w:rsid w:val="00003F78"/>
    <w:rsid w:val="000042B2"/>
    <w:rsid w:val="00004B0A"/>
    <w:rsid w:val="00005664"/>
    <w:rsid w:val="00005B25"/>
    <w:rsid w:val="000064FE"/>
    <w:rsid w:val="00006555"/>
    <w:rsid w:val="0000695A"/>
    <w:rsid w:val="00010498"/>
    <w:rsid w:val="000123C4"/>
    <w:rsid w:val="0001384A"/>
    <w:rsid w:val="00013DFA"/>
    <w:rsid w:val="0001439D"/>
    <w:rsid w:val="000146FF"/>
    <w:rsid w:val="00015D8E"/>
    <w:rsid w:val="00017968"/>
    <w:rsid w:val="00017FB4"/>
    <w:rsid w:val="00021B81"/>
    <w:rsid w:val="00021D7F"/>
    <w:rsid w:val="000239FE"/>
    <w:rsid w:val="00023D8A"/>
    <w:rsid w:val="000252D2"/>
    <w:rsid w:val="00025ADB"/>
    <w:rsid w:val="00034188"/>
    <w:rsid w:val="00034337"/>
    <w:rsid w:val="000346D7"/>
    <w:rsid w:val="00034D73"/>
    <w:rsid w:val="00035404"/>
    <w:rsid w:val="00036089"/>
    <w:rsid w:val="00036788"/>
    <w:rsid w:val="000411ED"/>
    <w:rsid w:val="000412D7"/>
    <w:rsid w:val="00043D1A"/>
    <w:rsid w:val="00043D1F"/>
    <w:rsid w:val="0004410A"/>
    <w:rsid w:val="00046B2C"/>
    <w:rsid w:val="0004703D"/>
    <w:rsid w:val="00051F7A"/>
    <w:rsid w:val="000520CC"/>
    <w:rsid w:val="00053EBE"/>
    <w:rsid w:val="0005402C"/>
    <w:rsid w:val="00054250"/>
    <w:rsid w:val="00055180"/>
    <w:rsid w:val="00055AE9"/>
    <w:rsid w:val="00055D27"/>
    <w:rsid w:val="000602AA"/>
    <w:rsid w:val="0006440E"/>
    <w:rsid w:val="0006471B"/>
    <w:rsid w:val="000657A8"/>
    <w:rsid w:val="000662E3"/>
    <w:rsid w:val="00067ACA"/>
    <w:rsid w:val="00067B8F"/>
    <w:rsid w:val="000707B3"/>
    <w:rsid w:val="000715A9"/>
    <w:rsid w:val="00071F0A"/>
    <w:rsid w:val="00073870"/>
    <w:rsid w:val="00074788"/>
    <w:rsid w:val="00076A48"/>
    <w:rsid w:val="000771A4"/>
    <w:rsid w:val="00077876"/>
    <w:rsid w:val="0008045C"/>
    <w:rsid w:val="0008103B"/>
    <w:rsid w:val="000815B7"/>
    <w:rsid w:val="000826DD"/>
    <w:rsid w:val="00082D7D"/>
    <w:rsid w:val="000863FA"/>
    <w:rsid w:val="00090A39"/>
    <w:rsid w:val="00090B7E"/>
    <w:rsid w:val="00090CF8"/>
    <w:rsid w:val="000924AD"/>
    <w:rsid w:val="000927C7"/>
    <w:rsid w:val="000935F1"/>
    <w:rsid w:val="00094560"/>
    <w:rsid w:val="000947C4"/>
    <w:rsid w:val="00095589"/>
    <w:rsid w:val="00095BA9"/>
    <w:rsid w:val="00097C59"/>
    <w:rsid w:val="00097CF1"/>
    <w:rsid w:val="000A0FC3"/>
    <w:rsid w:val="000A1367"/>
    <w:rsid w:val="000A2084"/>
    <w:rsid w:val="000A226B"/>
    <w:rsid w:val="000A3932"/>
    <w:rsid w:val="000A471C"/>
    <w:rsid w:val="000A4C27"/>
    <w:rsid w:val="000A58EB"/>
    <w:rsid w:val="000A62A9"/>
    <w:rsid w:val="000A6EB6"/>
    <w:rsid w:val="000A7B66"/>
    <w:rsid w:val="000B07B0"/>
    <w:rsid w:val="000B185F"/>
    <w:rsid w:val="000B1C52"/>
    <w:rsid w:val="000B2168"/>
    <w:rsid w:val="000B3A46"/>
    <w:rsid w:val="000B50CD"/>
    <w:rsid w:val="000B710C"/>
    <w:rsid w:val="000B7985"/>
    <w:rsid w:val="000B7E0B"/>
    <w:rsid w:val="000C098C"/>
    <w:rsid w:val="000C0B04"/>
    <w:rsid w:val="000C344B"/>
    <w:rsid w:val="000C544C"/>
    <w:rsid w:val="000C6130"/>
    <w:rsid w:val="000C72F9"/>
    <w:rsid w:val="000D02E4"/>
    <w:rsid w:val="000D1377"/>
    <w:rsid w:val="000D17FB"/>
    <w:rsid w:val="000D25AC"/>
    <w:rsid w:val="000D2AE0"/>
    <w:rsid w:val="000D3C58"/>
    <w:rsid w:val="000D44D4"/>
    <w:rsid w:val="000D5771"/>
    <w:rsid w:val="000D5893"/>
    <w:rsid w:val="000D6150"/>
    <w:rsid w:val="000D7252"/>
    <w:rsid w:val="000D7A72"/>
    <w:rsid w:val="000D7F45"/>
    <w:rsid w:val="000E0D27"/>
    <w:rsid w:val="000E2E4F"/>
    <w:rsid w:val="000E6B01"/>
    <w:rsid w:val="000E7CC2"/>
    <w:rsid w:val="000F0B1B"/>
    <w:rsid w:val="000F0BBD"/>
    <w:rsid w:val="000F10F8"/>
    <w:rsid w:val="000F39EF"/>
    <w:rsid w:val="000F5C0F"/>
    <w:rsid w:val="0010059E"/>
    <w:rsid w:val="00101E16"/>
    <w:rsid w:val="001020FC"/>
    <w:rsid w:val="00102CE3"/>
    <w:rsid w:val="001043DB"/>
    <w:rsid w:val="0010593B"/>
    <w:rsid w:val="0010685E"/>
    <w:rsid w:val="00107096"/>
    <w:rsid w:val="0010719F"/>
    <w:rsid w:val="00107984"/>
    <w:rsid w:val="0011205F"/>
    <w:rsid w:val="001139A6"/>
    <w:rsid w:val="00113D4A"/>
    <w:rsid w:val="00113F3C"/>
    <w:rsid w:val="001167D9"/>
    <w:rsid w:val="0011796A"/>
    <w:rsid w:val="00117F68"/>
    <w:rsid w:val="00120465"/>
    <w:rsid w:val="00123473"/>
    <w:rsid w:val="00125838"/>
    <w:rsid w:val="00125C6A"/>
    <w:rsid w:val="001262A5"/>
    <w:rsid w:val="00130907"/>
    <w:rsid w:val="001317CF"/>
    <w:rsid w:val="00132082"/>
    <w:rsid w:val="00134A6D"/>
    <w:rsid w:val="00134C8C"/>
    <w:rsid w:val="00135D93"/>
    <w:rsid w:val="0013620E"/>
    <w:rsid w:val="00137A73"/>
    <w:rsid w:val="00143689"/>
    <w:rsid w:val="00143F81"/>
    <w:rsid w:val="00144377"/>
    <w:rsid w:val="00144F94"/>
    <w:rsid w:val="001458FE"/>
    <w:rsid w:val="001465C6"/>
    <w:rsid w:val="001471AF"/>
    <w:rsid w:val="001504F4"/>
    <w:rsid w:val="00150EF3"/>
    <w:rsid w:val="00151E5F"/>
    <w:rsid w:val="0015229D"/>
    <w:rsid w:val="00155161"/>
    <w:rsid w:val="00155751"/>
    <w:rsid w:val="001560D3"/>
    <w:rsid w:val="001617D2"/>
    <w:rsid w:val="00162FBC"/>
    <w:rsid w:val="0016375C"/>
    <w:rsid w:val="001637AE"/>
    <w:rsid w:val="00163D48"/>
    <w:rsid w:val="001654A5"/>
    <w:rsid w:val="00165E45"/>
    <w:rsid w:val="00170760"/>
    <w:rsid w:val="00170B46"/>
    <w:rsid w:val="00171767"/>
    <w:rsid w:val="00173764"/>
    <w:rsid w:val="0017405D"/>
    <w:rsid w:val="001748BA"/>
    <w:rsid w:val="00182F55"/>
    <w:rsid w:val="00185694"/>
    <w:rsid w:val="00185966"/>
    <w:rsid w:val="00186FCE"/>
    <w:rsid w:val="00192DAD"/>
    <w:rsid w:val="00192F75"/>
    <w:rsid w:val="00193F19"/>
    <w:rsid w:val="00194C03"/>
    <w:rsid w:val="00196C2D"/>
    <w:rsid w:val="001A038D"/>
    <w:rsid w:val="001A3E0D"/>
    <w:rsid w:val="001A3E96"/>
    <w:rsid w:val="001A6181"/>
    <w:rsid w:val="001B1CE6"/>
    <w:rsid w:val="001B59E3"/>
    <w:rsid w:val="001B7A15"/>
    <w:rsid w:val="001C367A"/>
    <w:rsid w:val="001C51E2"/>
    <w:rsid w:val="001C6507"/>
    <w:rsid w:val="001C6B8F"/>
    <w:rsid w:val="001C7324"/>
    <w:rsid w:val="001D0E41"/>
    <w:rsid w:val="001D153D"/>
    <w:rsid w:val="001D19F1"/>
    <w:rsid w:val="001D2337"/>
    <w:rsid w:val="001D240E"/>
    <w:rsid w:val="001D38B9"/>
    <w:rsid w:val="001D4CE8"/>
    <w:rsid w:val="001E1E52"/>
    <w:rsid w:val="001E42B9"/>
    <w:rsid w:val="001E53AB"/>
    <w:rsid w:val="001E6902"/>
    <w:rsid w:val="001F0746"/>
    <w:rsid w:val="001F1C35"/>
    <w:rsid w:val="001F20B8"/>
    <w:rsid w:val="001F22DB"/>
    <w:rsid w:val="002020DB"/>
    <w:rsid w:val="00202A01"/>
    <w:rsid w:val="00203D3A"/>
    <w:rsid w:val="0020435A"/>
    <w:rsid w:val="00206047"/>
    <w:rsid w:val="00206A88"/>
    <w:rsid w:val="00207301"/>
    <w:rsid w:val="002073BD"/>
    <w:rsid w:val="00207B90"/>
    <w:rsid w:val="00210158"/>
    <w:rsid w:val="0021155E"/>
    <w:rsid w:val="00216F04"/>
    <w:rsid w:val="0022389A"/>
    <w:rsid w:val="00223F01"/>
    <w:rsid w:val="00224E88"/>
    <w:rsid w:val="00227E91"/>
    <w:rsid w:val="002304E3"/>
    <w:rsid w:val="002328C6"/>
    <w:rsid w:val="00233EF5"/>
    <w:rsid w:val="002349C3"/>
    <w:rsid w:val="00235FC2"/>
    <w:rsid w:val="00236116"/>
    <w:rsid w:val="00236239"/>
    <w:rsid w:val="0023771D"/>
    <w:rsid w:val="00241AD5"/>
    <w:rsid w:val="00241E9C"/>
    <w:rsid w:val="00242077"/>
    <w:rsid w:val="00243B76"/>
    <w:rsid w:val="00243F05"/>
    <w:rsid w:val="0025100A"/>
    <w:rsid w:val="00251386"/>
    <w:rsid w:val="00251AC2"/>
    <w:rsid w:val="00251D02"/>
    <w:rsid w:val="002534BD"/>
    <w:rsid w:val="002551A1"/>
    <w:rsid w:val="0025636B"/>
    <w:rsid w:val="002571A3"/>
    <w:rsid w:val="00260A01"/>
    <w:rsid w:val="00261479"/>
    <w:rsid w:val="00262274"/>
    <w:rsid w:val="00265450"/>
    <w:rsid w:val="00265B05"/>
    <w:rsid w:val="00265F6C"/>
    <w:rsid w:val="00266561"/>
    <w:rsid w:val="00266E0C"/>
    <w:rsid w:val="00266E1A"/>
    <w:rsid w:val="00270A49"/>
    <w:rsid w:val="002723FC"/>
    <w:rsid w:val="0027468B"/>
    <w:rsid w:val="002762A4"/>
    <w:rsid w:val="00282655"/>
    <w:rsid w:val="00282DAE"/>
    <w:rsid w:val="0028369A"/>
    <w:rsid w:val="00284792"/>
    <w:rsid w:val="00285433"/>
    <w:rsid w:val="00287105"/>
    <w:rsid w:val="00287452"/>
    <w:rsid w:val="00290375"/>
    <w:rsid w:val="00291602"/>
    <w:rsid w:val="00291DFC"/>
    <w:rsid w:val="00291E15"/>
    <w:rsid w:val="00293854"/>
    <w:rsid w:val="0029392F"/>
    <w:rsid w:val="00294781"/>
    <w:rsid w:val="00295416"/>
    <w:rsid w:val="00297583"/>
    <w:rsid w:val="002A2034"/>
    <w:rsid w:val="002A3232"/>
    <w:rsid w:val="002A538A"/>
    <w:rsid w:val="002A5A93"/>
    <w:rsid w:val="002A6F12"/>
    <w:rsid w:val="002B12E6"/>
    <w:rsid w:val="002B1329"/>
    <w:rsid w:val="002B2CE2"/>
    <w:rsid w:val="002B7295"/>
    <w:rsid w:val="002B7C26"/>
    <w:rsid w:val="002B7F03"/>
    <w:rsid w:val="002C0B56"/>
    <w:rsid w:val="002C0B93"/>
    <w:rsid w:val="002C0F1B"/>
    <w:rsid w:val="002C4190"/>
    <w:rsid w:val="002C433C"/>
    <w:rsid w:val="002C4460"/>
    <w:rsid w:val="002C5187"/>
    <w:rsid w:val="002C5517"/>
    <w:rsid w:val="002C7967"/>
    <w:rsid w:val="002D02BA"/>
    <w:rsid w:val="002D1354"/>
    <w:rsid w:val="002D1A9D"/>
    <w:rsid w:val="002D1CBC"/>
    <w:rsid w:val="002D2C39"/>
    <w:rsid w:val="002D390F"/>
    <w:rsid w:val="002D48A6"/>
    <w:rsid w:val="002D4D2D"/>
    <w:rsid w:val="002D61E1"/>
    <w:rsid w:val="002D6AD0"/>
    <w:rsid w:val="002D7409"/>
    <w:rsid w:val="002E2D66"/>
    <w:rsid w:val="002E33A2"/>
    <w:rsid w:val="002E3609"/>
    <w:rsid w:val="002E5382"/>
    <w:rsid w:val="002E5E3C"/>
    <w:rsid w:val="002F07F4"/>
    <w:rsid w:val="002F1433"/>
    <w:rsid w:val="002F2E6A"/>
    <w:rsid w:val="002F323D"/>
    <w:rsid w:val="002F412E"/>
    <w:rsid w:val="002F4170"/>
    <w:rsid w:val="002F605D"/>
    <w:rsid w:val="00300EF7"/>
    <w:rsid w:val="00305113"/>
    <w:rsid w:val="00306B44"/>
    <w:rsid w:val="00310511"/>
    <w:rsid w:val="00310654"/>
    <w:rsid w:val="00311603"/>
    <w:rsid w:val="00311E5C"/>
    <w:rsid w:val="003121F3"/>
    <w:rsid w:val="00313AD1"/>
    <w:rsid w:val="003149A9"/>
    <w:rsid w:val="00314A83"/>
    <w:rsid w:val="00315407"/>
    <w:rsid w:val="00315734"/>
    <w:rsid w:val="0031648A"/>
    <w:rsid w:val="0031755E"/>
    <w:rsid w:val="00321C3D"/>
    <w:rsid w:val="00323798"/>
    <w:rsid w:val="00323A55"/>
    <w:rsid w:val="00325E98"/>
    <w:rsid w:val="003268D1"/>
    <w:rsid w:val="00326DCF"/>
    <w:rsid w:val="00327AF0"/>
    <w:rsid w:val="00330694"/>
    <w:rsid w:val="00330A9B"/>
    <w:rsid w:val="00331237"/>
    <w:rsid w:val="00331B49"/>
    <w:rsid w:val="00331F29"/>
    <w:rsid w:val="00333A1D"/>
    <w:rsid w:val="0033460B"/>
    <w:rsid w:val="00334F92"/>
    <w:rsid w:val="00335358"/>
    <w:rsid w:val="0033579B"/>
    <w:rsid w:val="00336D93"/>
    <w:rsid w:val="0033752D"/>
    <w:rsid w:val="0034291E"/>
    <w:rsid w:val="00343723"/>
    <w:rsid w:val="003443B4"/>
    <w:rsid w:val="0034453E"/>
    <w:rsid w:val="00344689"/>
    <w:rsid w:val="003456F8"/>
    <w:rsid w:val="00347675"/>
    <w:rsid w:val="00347BD4"/>
    <w:rsid w:val="00347CD5"/>
    <w:rsid w:val="00350B80"/>
    <w:rsid w:val="00351462"/>
    <w:rsid w:val="00351B97"/>
    <w:rsid w:val="00353E36"/>
    <w:rsid w:val="003554E0"/>
    <w:rsid w:val="00355B64"/>
    <w:rsid w:val="00355DBF"/>
    <w:rsid w:val="00356991"/>
    <w:rsid w:val="003576FF"/>
    <w:rsid w:val="00357F80"/>
    <w:rsid w:val="0036003F"/>
    <w:rsid w:val="003622B7"/>
    <w:rsid w:val="0036304D"/>
    <w:rsid w:val="003631B2"/>
    <w:rsid w:val="00363764"/>
    <w:rsid w:val="0036462F"/>
    <w:rsid w:val="00366B36"/>
    <w:rsid w:val="00367A4B"/>
    <w:rsid w:val="00372887"/>
    <w:rsid w:val="00373EDC"/>
    <w:rsid w:val="00374404"/>
    <w:rsid w:val="00375C4D"/>
    <w:rsid w:val="0037629E"/>
    <w:rsid w:val="00380A73"/>
    <w:rsid w:val="00380DD7"/>
    <w:rsid w:val="00382F29"/>
    <w:rsid w:val="00384AF1"/>
    <w:rsid w:val="00385A79"/>
    <w:rsid w:val="00386385"/>
    <w:rsid w:val="00386798"/>
    <w:rsid w:val="00387555"/>
    <w:rsid w:val="0039006E"/>
    <w:rsid w:val="00391AD2"/>
    <w:rsid w:val="003928A8"/>
    <w:rsid w:val="0039343C"/>
    <w:rsid w:val="00393B9D"/>
    <w:rsid w:val="00394823"/>
    <w:rsid w:val="003955A0"/>
    <w:rsid w:val="00395CA3"/>
    <w:rsid w:val="0039786B"/>
    <w:rsid w:val="003978DA"/>
    <w:rsid w:val="003A13B4"/>
    <w:rsid w:val="003A47A3"/>
    <w:rsid w:val="003A72AE"/>
    <w:rsid w:val="003B1262"/>
    <w:rsid w:val="003B2F0B"/>
    <w:rsid w:val="003B4A8D"/>
    <w:rsid w:val="003B4EFB"/>
    <w:rsid w:val="003B5D7A"/>
    <w:rsid w:val="003B72C4"/>
    <w:rsid w:val="003C276B"/>
    <w:rsid w:val="003C3908"/>
    <w:rsid w:val="003C48B6"/>
    <w:rsid w:val="003C4D0F"/>
    <w:rsid w:val="003C6764"/>
    <w:rsid w:val="003C6B6D"/>
    <w:rsid w:val="003C7C89"/>
    <w:rsid w:val="003D06AF"/>
    <w:rsid w:val="003D4318"/>
    <w:rsid w:val="003D6200"/>
    <w:rsid w:val="003D66C8"/>
    <w:rsid w:val="003D6B2B"/>
    <w:rsid w:val="003E0375"/>
    <w:rsid w:val="003E2B21"/>
    <w:rsid w:val="003E4422"/>
    <w:rsid w:val="003E4FF7"/>
    <w:rsid w:val="003E7EEF"/>
    <w:rsid w:val="003F0358"/>
    <w:rsid w:val="003F1AAC"/>
    <w:rsid w:val="003F35EF"/>
    <w:rsid w:val="003F3B35"/>
    <w:rsid w:val="003F470F"/>
    <w:rsid w:val="003F4D39"/>
    <w:rsid w:val="003F5B78"/>
    <w:rsid w:val="004011FF"/>
    <w:rsid w:val="00402689"/>
    <w:rsid w:val="00404750"/>
    <w:rsid w:val="00404BE7"/>
    <w:rsid w:val="004052B2"/>
    <w:rsid w:val="00405C0C"/>
    <w:rsid w:val="00405FC1"/>
    <w:rsid w:val="00405FFB"/>
    <w:rsid w:val="00406F4B"/>
    <w:rsid w:val="00410B6F"/>
    <w:rsid w:val="004115E0"/>
    <w:rsid w:val="00412253"/>
    <w:rsid w:val="00415770"/>
    <w:rsid w:val="00415FC6"/>
    <w:rsid w:val="004179EB"/>
    <w:rsid w:val="004235B1"/>
    <w:rsid w:val="00424784"/>
    <w:rsid w:val="00425BA5"/>
    <w:rsid w:val="00426711"/>
    <w:rsid w:val="00427102"/>
    <w:rsid w:val="00430270"/>
    <w:rsid w:val="004303BA"/>
    <w:rsid w:val="00434060"/>
    <w:rsid w:val="00436E44"/>
    <w:rsid w:val="00437173"/>
    <w:rsid w:val="0044012A"/>
    <w:rsid w:val="00441D52"/>
    <w:rsid w:val="00442312"/>
    <w:rsid w:val="004432F6"/>
    <w:rsid w:val="004443BE"/>
    <w:rsid w:val="004446C5"/>
    <w:rsid w:val="004469F9"/>
    <w:rsid w:val="00446D56"/>
    <w:rsid w:val="00446F85"/>
    <w:rsid w:val="004522B4"/>
    <w:rsid w:val="00452714"/>
    <w:rsid w:val="00452891"/>
    <w:rsid w:val="00452900"/>
    <w:rsid w:val="00452A5B"/>
    <w:rsid w:val="00452CED"/>
    <w:rsid w:val="00453189"/>
    <w:rsid w:val="0045385A"/>
    <w:rsid w:val="00454813"/>
    <w:rsid w:val="00456AC9"/>
    <w:rsid w:val="0046020B"/>
    <w:rsid w:val="004619D4"/>
    <w:rsid w:val="00461BFF"/>
    <w:rsid w:val="0046257E"/>
    <w:rsid w:val="004642C0"/>
    <w:rsid w:val="0046775E"/>
    <w:rsid w:val="00467A8F"/>
    <w:rsid w:val="0047009B"/>
    <w:rsid w:val="00470D92"/>
    <w:rsid w:val="00472CFC"/>
    <w:rsid w:val="00475510"/>
    <w:rsid w:val="0047586E"/>
    <w:rsid w:val="00475D67"/>
    <w:rsid w:val="00480E9D"/>
    <w:rsid w:val="00485168"/>
    <w:rsid w:val="004851ED"/>
    <w:rsid w:val="0048588A"/>
    <w:rsid w:val="00487D31"/>
    <w:rsid w:val="00490397"/>
    <w:rsid w:val="00490692"/>
    <w:rsid w:val="00494AD0"/>
    <w:rsid w:val="004952D7"/>
    <w:rsid w:val="00495C7D"/>
    <w:rsid w:val="00496108"/>
    <w:rsid w:val="00496192"/>
    <w:rsid w:val="00497373"/>
    <w:rsid w:val="00497823"/>
    <w:rsid w:val="004A0830"/>
    <w:rsid w:val="004A0E05"/>
    <w:rsid w:val="004A11C7"/>
    <w:rsid w:val="004A18D7"/>
    <w:rsid w:val="004A1B26"/>
    <w:rsid w:val="004A49DD"/>
    <w:rsid w:val="004A4A80"/>
    <w:rsid w:val="004A5489"/>
    <w:rsid w:val="004B0C50"/>
    <w:rsid w:val="004B7AD5"/>
    <w:rsid w:val="004C17CB"/>
    <w:rsid w:val="004C420E"/>
    <w:rsid w:val="004C6C35"/>
    <w:rsid w:val="004C7929"/>
    <w:rsid w:val="004D0248"/>
    <w:rsid w:val="004D0BDF"/>
    <w:rsid w:val="004D3A0B"/>
    <w:rsid w:val="004D469E"/>
    <w:rsid w:val="004D4B67"/>
    <w:rsid w:val="004D4F66"/>
    <w:rsid w:val="004E27A9"/>
    <w:rsid w:val="004E3A57"/>
    <w:rsid w:val="004E4113"/>
    <w:rsid w:val="004E472B"/>
    <w:rsid w:val="004E4BBD"/>
    <w:rsid w:val="004E5018"/>
    <w:rsid w:val="004E5200"/>
    <w:rsid w:val="004E5EFE"/>
    <w:rsid w:val="004E66AC"/>
    <w:rsid w:val="004E6B7B"/>
    <w:rsid w:val="004E70AD"/>
    <w:rsid w:val="004E7D7F"/>
    <w:rsid w:val="004E7F6A"/>
    <w:rsid w:val="004F064A"/>
    <w:rsid w:val="004F0FD3"/>
    <w:rsid w:val="004F1D5B"/>
    <w:rsid w:val="004F3ABE"/>
    <w:rsid w:val="004F3FEB"/>
    <w:rsid w:val="004F5454"/>
    <w:rsid w:val="004F5B37"/>
    <w:rsid w:val="004F6AEC"/>
    <w:rsid w:val="005014CD"/>
    <w:rsid w:val="00501793"/>
    <w:rsid w:val="00505BFD"/>
    <w:rsid w:val="005074D5"/>
    <w:rsid w:val="00510AA1"/>
    <w:rsid w:val="00511E6F"/>
    <w:rsid w:val="005127CE"/>
    <w:rsid w:val="00512879"/>
    <w:rsid w:val="00513265"/>
    <w:rsid w:val="00513282"/>
    <w:rsid w:val="005151BE"/>
    <w:rsid w:val="005204CB"/>
    <w:rsid w:val="0052211A"/>
    <w:rsid w:val="00522208"/>
    <w:rsid w:val="005240BD"/>
    <w:rsid w:val="00524404"/>
    <w:rsid w:val="00524BCF"/>
    <w:rsid w:val="00524F37"/>
    <w:rsid w:val="00525AEA"/>
    <w:rsid w:val="00525FA8"/>
    <w:rsid w:val="005272D8"/>
    <w:rsid w:val="005300D5"/>
    <w:rsid w:val="00530B7D"/>
    <w:rsid w:val="005310E8"/>
    <w:rsid w:val="00531EA2"/>
    <w:rsid w:val="00532D90"/>
    <w:rsid w:val="00532F66"/>
    <w:rsid w:val="00533D48"/>
    <w:rsid w:val="00535A6B"/>
    <w:rsid w:val="005371B9"/>
    <w:rsid w:val="00537869"/>
    <w:rsid w:val="005419E9"/>
    <w:rsid w:val="00541DC9"/>
    <w:rsid w:val="00542475"/>
    <w:rsid w:val="005440CF"/>
    <w:rsid w:val="0054516B"/>
    <w:rsid w:val="005458FE"/>
    <w:rsid w:val="00545910"/>
    <w:rsid w:val="00546397"/>
    <w:rsid w:val="00550C9C"/>
    <w:rsid w:val="00551444"/>
    <w:rsid w:val="005516A8"/>
    <w:rsid w:val="005533C4"/>
    <w:rsid w:val="00554741"/>
    <w:rsid w:val="0055482E"/>
    <w:rsid w:val="005602F8"/>
    <w:rsid w:val="00560786"/>
    <w:rsid w:val="0056268F"/>
    <w:rsid w:val="005653D8"/>
    <w:rsid w:val="00565C3C"/>
    <w:rsid w:val="00566974"/>
    <w:rsid w:val="00567623"/>
    <w:rsid w:val="0057085B"/>
    <w:rsid w:val="00570C6B"/>
    <w:rsid w:val="00571AA7"/>
    <w:rsid w:val="00572DF6"/>
    <w:rsid w:val="00573388"/>
    <w:rsid w:val="00573AB6"/>
    <w:rsid w:val="00577D77"/>
    <w:rsid w:val="00580725"/>
    <w:rsid w:val="005807CD"/>
    <w:rsid w:val="005811B9"/>
    <w:rsid w:val="00581CAA"/>
    <w:rsid w:val="0058245E"/>
    <w:rsid w:val="00583C1D"/>
    <w:rsid w:val="0058608A"/>
    <w:rsid w:val="00586657"/>
    <w:rsid w:val="0058695B"/>
    <w:rsid w:val="00586FDE"/>
    <w:rsid w:val="00587B6A"/>
    <w:rsid w:val="00587C9B"/>
    <w:rsid w:val="00587F5D"/>
    <w:rsid w:val="00590E5A"/>
    <w:rsid w:val="005940D1"/>
    <w:rsid w:val="00594E34"/>
    <w:rsid w:val="00595908"/>
    <w:rsid w:val="00596B3D"/>
    <w:rsid w:val="005A0477"/>
    <w:rsid w:val="005A07E1"/>
    <w:rsid w:val="005A2279"/>
    <w:rsid w:val="005A2BB7"/>
    <w:rsid w:val="005A3A8D"/>
    <w:rsid w:val="005A4ADA"/>
    <w:rsid w:val="005A6F2F"/>
    <w:rsid w:val="005A7757"/>
    <w:rsid w:val="005B283E"/>
    <w:rsid w:val="005B2D6F"/>
    <w:rsid w:val="005B3A18"/>
    <w:rsid w:val="005B41AA"/>
    <w:rsid w:val="005B4F61"/>
    <w:rsid w:val="005B57EF"/>
    <w:rsid w:val="005B6905"/>
    <w:rsid w:val="005B724E"/>
    <w:rsid w:val="005C0B5C"/>
    <w:rsid w:val="005C5968"/>
    <w:rsid w:val="005C7707"/>
    <w:rsid w:val="005D133C"/>
    <w:rsid w:val="005D18F5"/>
    <w:rsid w:val="005D27B7"/>
    <w:rsid w:val="005D33D4"/>
    <w:rsid w:val="005D5CF2"/>
    <w:rsid w:val="005D5E76"/>
    <w:rsid w:val="005D72FB"/>
    <w:rsid w:val="005D780C"/>
    <w:rsid w:val="005D7836"/>
    <w:rsid w:val="005D7FCA"/>
    <w:rsid w:val="005E1232"/>
    <w:rsid w:val="005E2F7A"/>
    <w:rsid w:val="005E37DA"/>
    <w:rsid w:val="005E4217"/>
    <w:rsid w:val="005E485F"/>
    <w:rsid w:val="005F2729"/>
    <w:rsid w:val="005F3758"/>
    <w:rsid w:val="005F71F9"/>
    <w:rsid w:val="006002AA"/>
    <w:rsid w:val="006031F5"/>
    <w:rsid w:val="0060698B"/>
    <w:rsid w:val="00611C67"/>
    <w:rsid w:val="00613C6D"/>
    <w:rsid w:val="00614076"/>
    <w:rsid w:val="00614E5A"/>
    <w:rsid w:val="00616235"/>
    <w:rsid w:val="00617492"/>
    <w:rsid w:val="00620244"/>
    <w:rsid w:val="00620B8A"/>
    <w:rsid w:val="00621BB1"/>
    <w:rsid w:val="00621BC9"/>
    <w:rsid w:val="0062275E"/>
    <w:rsid w:val="0062554E"/>
    <w:rsid w:val="00630230"/>
    <w:rsid w:val="00630BEB"/>
    <w:rsid w:val="00631233"/>
    <w:rsid w:val="006316F4"/>
    <w:rsid w:val="0063197E"/>
    <w:rsid w:val="00633689"/>
    <w:rsid w:val="00634739"/>
    <w:rsid w:val="00636EB6"/>
    <w:rsid w:val="00640B8B"/>
    <w:rsid w:val="00640FE7"/>
    <w:rsid w:val="00640FEF"/>
    <w:rsid w:val="00642E98"/>
    <w:rsid w:val="00643AB4"/>
    <w:rsid w:val="00643E28"/>
    <w:rsid w:val="00644CF4"/>
    <w:rsid w:val="00645153"/>
    <w:rsid w:val="006455B8"/>
    <w:rsid w:val="00645EF2"/>
    <w:rsid w:val="00646223"/>
    <w:rsid w:val="0064732B"/>
    <w:rsid w:val="00647993"/>
    <w:rsid w:val="00650304"/>
    <w:rsid w:val="006511EF"/>
    <w:rsid w:val="00652816"/>
    <w:rsid w:val="006529FA"/>
    <w:rsid w:val="006535F8"/>
    <w:rsid w:val="006536E0"/>
    <w:rsid w:val="00653B45"/>
    <w:rsid w:val="0065485F"/>
    <w:rsid w:val="006548B7"/>
    <w:rsid w:val="00656745"/>
    <w:rsid w:val="00657376"/>
    <w:rsid w:val="00660EA6"/>
    <w:rsid w:val="00661FE9"/>
    <w:rsid w:val="00663B7B"/>
    <w:rsid w:val="006640FF"/>
    <w:rsid w:val="00664D3E"/>
    <w:rsid w:val="00664E77"/>
    <w:rsid w:val="00665127"/>
    <w:rsid w:val="00667145"/>
    <w:rsid w:val="006673BB"/>
    <w:rsid w:val="006707F5"/>
    <w:rsid w:val="00670AD9"/>
    <w:rsid w:val="006713C2"/>
    <w:rsid w:val="00671713"/>
    <w:rsid w:val="00672EDC"/>
    <w:rsid w:val="00673AE4"/>
    <w:rsid w:val="0067402D"/>
    <w:rsid w:val="00675CCA"/>
    <w:rsid w:val="00675E56"/>
    <w:rsid w:val="0067632C"/>
    <w:rsid w:val="00677740"/>
    <w:rsid w:val="00677934"/>
    <w:rsid w:val="00677A85"/>
    <w:rsid w:val="006805A5"/>
    <w:rsid w:val="006809F1"/>
    <w:rsid w:val="00680B51"/>
    <w:rsid w:val="006821E3"/>
    <w:rsid w:val="00684686"/>
    <w:rsid w:val="00685DB6"/>
    <w:rsid w:val="0069192E"/>
    <w:rsid w:val="0069299B"/>
    <w:rsid w:val="00693518"/>
    <w:rsid w:val="006941A0"/>
    <w:rsid w:val="00694C51"/>
    <w:rsid w:val="006955E7"/>
    <w:rsid w:val="00695FCF"/>
    <w:rsid w:val="00696965"/>
    <w:rsid w:val="00696DDA"/>
    <w:rsid w:val="006970D5"/>
    <w:rsid w:val="006A013E"/>
    <w:rsid w:val="006A135C"/>
    <w:rsid w:val="006A4CFB"/>
    <w:rsid w:val="006A65B1"/>
    <w:rsid w:val="006A704A"/>
    <w:rsid w:val="006A71A2"/>
    <w:rsid w:val="006B0DD2"/>
    <w:rsid w:val="006B2505"/>
    <w:rsid w:val="006B4075"/>
    <w:rsid w:val="006B55BE"/>
    <w:rsid w:val="006B5E7A"/>
    <w:rsid w:val="006B6956"/>
    <w:rsid w:val="006C09E3"/>
    <w:rsid w:val="006C0A34"/>
    <w:rsid w:val="006C2E4C"/>
    <w:rsid w:val="006C3647"/>
    <w:rsid w:val="006C3B4B"/>
    <w:rsid w:val="006C41FF"/>
    <w:rsid w:val="006C4E62"/>
    <w:rsid w:val="006C6AAB"/>
    <w:rsid w:val="006C7C8E"/>
    <w:rsid w:val="006D1D72"/>
    <w:rsid w:val="006D27F0"/>
    <w:rsid w:val="006D30E8"/>
    <w:rsid w:val="006D502F"/>
    <w:rsid w:val="006D5067"/>
    <w:rsid w:val="006D5713"/>
    <w:rsid w:val="006D6623"/>
    <w:rsid w:val="006E1EA3"/>
    <w:rsid w:val="006E265E"/>
    <w:rsid w:val="006E27FD"/>
    <w:rsid w:val="006E4DAD"/>
    <w:rsid w:val="006E6CC2"/>
    <w:rsid w:val="006E721E"/>
    <w:rsid w:val="006F09F2"/>
    <w:rsid w:val="006F16C8"/>
    <w:rsid w:val="006F5C05"/>
    <w:rsid w:val="006F5E1D"/>
    <w:rsid w:val="006F6ADA"/>
    <w:rsid w:val="006F707F"/>
    <w:rsid w:val="006F70DE"/>
    <w:rsid w:val="00701DCC"/>
    <w:rsid w:val="0070382E"/>
    <w:rsid w:val="0070459E"/>
    <w:rsid w:val="0070621C"/>
    <w:rsid w:val="00706682"/>
    <w:rsid w:val="00707993"/>
    <w:rsid w:val="0071123A"/>
    <w:rsid w:val="00711E25"/>
    <w:rsid w:val="00712AC4"/>
    <w:rsid w:val="00712FB7"/>
    <w:rsid w:val="007138CC"/>
    <w:rsid w:val="0071439B"/>
    <w:rsid w:val="00714EA4"/>
    <w:rsid w:val="00715755"/>
    <w:rsid w:val="00715A96"/>
    <w:rsid w:val="0072122E"/>
    <w:rsid w:val="00723B85"/>
    <w:rsid w:val="007257B8"/>
    <w:rsid w:val="00727A83"/>
    <w:rsid w:val="00730A03"/>
    <w:rsid w:val="0073174A"/>
    <w:rsid w:val="00732503"/>
    <w:rsid w:val="007333BE"/>
    <w:rsid w:val="007335A8"/>
    <w:rsid w:val="00735079"/>
    <w:rsid w:val="0073593C"/>
    <w:rsid w:val="00736A14"/>
    <w:rsid w:val="00737013"/>
    <w:rsid w:val="0073764E"/>
    <w:rsid w:val="00737DDD"/>
    <w:rsid w:val="00743AC6"/>
    <w:rsid w:val="00744072"/>
    <w:rsid w:val="0075099D"/>
    <w:rsid w:val="00752052"/>
    <w:rsid w:val="00754EA3"/>
    <w:rsid w:val="007553A1"/>
    <w:rsid w:val="00756B84"/>
    <w:rsid w:val="00757A75"/>
    <w:rsid w:val="00760136"/>
    <w:rsid w:val="00760496"/>
    <w:rsid w:val="0076053B"/>
    <w:rsid w:val="007622E3"/>
    <w:rsid w:val="00763FB0"/>
    <w:rsid w:val="007644E5"/>
    <w:rsid w:val="00765150"/>
    <w:rsid w:val="007675EB"/>
    <w:rsid w:val="00770D2D"/>
    <w:rsid w:val="00770D5D"/>
    <w:rsid w:val="00771FBC"/>
    <w:rsid w:val="00772C0B"/>
    <w:rsid w:val="00772E3A"/>
    <w:rsid w:val="007738D0"/>
    <w:rsid w:val="00773EC0"/>
    <w:rsid w:val="00774DA4"/>
    <w:rsid w:val="00774E33"/>
    <w:rsid w:val="00774F7B"/>
    <w:rsid w:val="0077567A"/>
    <w:rsid w:val="00775DA1"/>
    <w:rsid w:val="00775F4F"/>
    <w:rsid w:val="00777690"/>
    <w:rsid w:val="00777C0A"/>
    <w:rsid w:val="00780533"/>
    <w:rsid w:val="00783A0B"/>
    <w:rsid w:val="00784DD0"/>
    <w:rsid w:val="0078737D"/>
    <w:rsid w:val="00787F94"/>
    <w:rsid w:val="00790464"/>
    <w:rsid w:val="00791D81"/>
    <w:rsid w:val="007939B6"/>
    <w:rsid w:val="00794997"/>
    <w:rsid w:val="0079622D"/>
    <w:rsid w:val="007964C7"/>
    <w:rsid w:val="007A35B4"/>
    <w:rsid w:val="007A4846"/>
    <w:rsid w:val="007A4969"/>
    <w:rsid w:val="007A5746"/>
    <w:rsid w:val="007A66DF"/>
    <w:rsid w:val="007A6D9A"/>
    <w:rsid w:val="007A6FD9"/>
    <w:rsid w:val="007A7C15"/>
    <w:rsid w:val="007B01D2"/>
    <w:rsid w:val="007B05F7"/>
    <w:rsid w:val="007B14C5"/>
    <w:rsid w:val="007B1924"/>
    <w:rsid w:val="007B199A"/>
    <w:rsid w:val="007B1BA6"/>
    <w:rsid w:val="007B48F8"/>
    <w:rsid w:val="007B51E6"/>
    <w:rsid w:val="007B55B5"/>
    <w:rsid w:val="007B5624"/>
    <w:rsid w:val="007C249E"/>
    <w:rsid w:val="007C3D92"/>
    <w:rsid w:val="007C5420"/>
    <w:rsid w:val="007D06C0"/>
    <w:rsid w:val="007D076E"/>
    <w:rsid w:val="007D1008"/>
    <w:rsid w:val="007D1B67"/>
    <w:rsid w:val="007D241A"/>
    <w:rsid w:val="007D2672"/>
    <w:rsid w:val="007D4B6B"/>
    <w:rsid w:val="007D62DC"/>
    <w:rsid w:val="007D6B1D"/>
    <w:rsid w:val="007D7930"/>
    <w:rsid w:val="007D7CCF"/>
    <w:rsid w:val="007E0965"/>
    <w:rsid w:val="007E58BF"/>
    <w:rsid w:val="007E728E"/>
    <w:rsid w:val="007E784C"/>
    <w:rsid w:val="007F0756"/>
    <w:rsid w:val="007F130A"/>
    <w:rsid w:val="007F1C0D"/>
    <w:rsid w:val="007F1E22"/>
    <w:rsid w:val="007F3D4F"/>
    <w:rsid w:val="007F46C8"/>
    <w:rsid w:val="007F52BD"/>
    <w:rsid w:val="007F5D18"/>
    <w:rsid w:val="00801420"/>
    <w:rsid w:val="00802069"/>
    <w:rsid w:val="008025DC"/>
    <w:rsid w:val="00802652"/>
    <w:rsid w:val="00802D8D"/>
    <w:rsid w:val="00803C62"/>
    <w:rsid w:val="00806DED"/>
    <w:rsid w:val="00806EB6"/>
    <w:rsid w:val="00806EC8"/>
    <w:rsid w:val="00807EEF"/>
    <w:rsid w:val="008135C7"/>
    <w:rsid w:val="00814CE9"/>
    <w:rsid w:val="00815D4F"/>
    <w:rsid w:val="00815D73"/>
    <w:rsid w:val="00816DAA"/>
    <w:rsid w:val="008176D9"/>
    <w:rsid w:val="00817D1E"/>
    <w:rsid w:val="00817DDD"/>
    <w:rsid w:val="00820BE1"/>
    <w:rsid w:val="00825BCB"/>
    <w:rsid w:val="0082609D"/>
    <w:rsid w:val="008270A6"/>
    <w:rsid w:val="00827BB7"/>
    <w:rsid w:val="00831988"/>
    <w:rsid w:val="00832233"/>
    <w:rsid w:val="00832428"/>
    <w:rsid w:val="00832BDC"/>
    <w:rsid w:val="008335D7"/>
    <w:rsid w:val="0083364D"/>
    <w:rsid w:val="00833E10"/>
    <w:rsid w:val="008340F1"/>
    <w:rsid w:val="00834A4A"/>
    <w:rsid w:val="0083539A"/>
    <w:rsid w:val="0083564F"/>
    <w:rsid w:val="008356C6"/>
    <w:rsid w:val="0083673F"/>
    <w:rsid w:val="008379ED"/>
    <w:rsid w:val="00837B9C"/>
    <w:rsid w:val="008409F8"/>
    <w:rsid w:val="00841E0B"/>
    <w:rsid w:val="008421FA"/>
    <w:rsid w:val="00844028"/>
    <w:rsid w:val="0084493B"/>
    <w:rsid w:val="00844B59"/>
    <w:rsid w:val="00844F82"/>
    <w:rsid w:val="00845D51"/>
    <w:rsid w:val="008469EE"/>
    <w:rsid w:val="00851085"/>
    <w:rsid w:val="008513F9"/>
    <w:rsid w:val="008521CA"/>
    <w:rsid w:val="008566B3"/>
    <w:rsid w:val="00856765"/>
    <w:rsid w:val="0085760A"/>
    <w:rsid w:val="00862746"/>
    <w:rsid w:val="008638C5"/>
    <w:rsid w:val="00864335"/>
    <w:rsid w:val="008660A5"/>
    <w:rsid w:val="00867AEB"/>
    <w:rsid w:val="008727DE"/>
    <w:rsid w:val="008737DB"/>
    <w:rsid w:val="008775A4"/>
    <w:rsid w:val="008809B6"/>
    <w:rsid w:val="00881122"/>
    <w:rsid w:val="00881AF4"/>
    <w:rsid w:val="008834FE"/>
    <w:rsid w:val="00883BC1"/>
    <w:rsid w:val="00884AE7"/>
    <w:rsid w:val="0088568F"/>
    <w:rsid w:val="00886263"/>
    <w:rsid w:val="00886365"/>
    <w:rsid w:val="00890070"/>
    <w:rsid w:val="00890405"/>
    <w:rsid w:val="008920DC"/>
    <w:rsid w:val="008927EE"/>
    <w:rsid w:val="00892C6D"/>
    <w:rsid w:val="008956D1"/>
    <w:rsid w:val="008957EF"/>
    <w:rsid w:val="00895BB6"/>
    <w:rsid w:val="008972B2"/>
    <w:rsid w:val="008976A1"/>
    <w:rsid w:val="00897928"/>
    <w:rsid w:val="00897CA1"/>
    <w:rsid w:val="008A0BDA"/>
    <w:rsid w:val="008A0E25"/>
    <w:rsid w:val="008A1766"/>
    <w:rsid w:val="008A1D53"/>
    <w:rsid w:val="008B2BA7"/>
    <w:rsid w:val="008B3494"/>
    <w:rsid w:val="008B4960"/>
    <w:rsid w:val="008B5FC3"/>
    <w:rsid w:val="008B6370"/>
    <w:rsid w:val="008B7022"/>
    <w:rsid w:val="008B743F"/>
    <w:rsid w:val="008C0A82"/>
    <w:rsid w:val="008C4980"/>
    <w:rsid w:val="008C5798"/>
    <w:rsid w:val="008D1B70"/>
    <w:rsid w:val="008D2BDD"/>
    <w:rsid w:val="008D33F8"/>
    <w:rsid w:val="008D3BD3"/>
    <w:rsid w:val="008D4BC6"/>
    <w:rsid w:val="008D5631"/>
    <w:rsid w:val="008E190A"/>
    <w:rsid w:val="008E2453"/>
    <w:rsid w:val="008E4AD4"/>
    <w:rsid w:val="008E5479"/>
    <w:rsid w:val="008E5A77"/>
    <w:rsid w:val="008E78E9"/>
    <w:rsid w:val="008F1906"/>
    <w:rsid w:val="008F1F12"/>
    <w:rsid w:val="008F2550"/>
    <w:rsid w:val="008F2BFA"/>
    <w:rsid w:val="008F2E54"/>
    <w:rsid w:val="008F43E5"/>
    <w:rsid w:val="008F5A3B"/>
    <w:rsid w:val="008F6975"/>
    <w:rsid w:val="008F72C4"/>
    <w:rsid w:val="00900A5F"/>
    <w:rsid w:val="009011F3"/>
    <w:rsid w:val="00902108"/>
    <w:rsid w:val="00902865"/>
    <w:rsid w:val="009030D3"/>
    <w:rsid w:val="00903342"/>
    <w:rsid w:val="00904FBD"/>
    <w:rsid w:val="00906DD1"/>
    <w:rsid w:val="009117A8"/>
    <w:rsid w:val="00912B69"/>
    <w:rsid w:val="00916E8D"/>
    <w:rsid w:val="009171F5"/>
    <w:rsid w:val="00917BA0"/>
    <w:rsid w:val="00917D94"/>
    <w:rsid w:val="00920E58"/>
    <w:rsid w:val="00921057"/>
    <w:rsid w:val="0092162F"/>
    <w:rsid w:val="00921E42"/>
    <w:rsid w:val="009221E2"/>
    <w:rsid w:val="00924122"/>
    <w:rsid w:val="009241E0"/>
    <w:rsid w:val="009259E1"/>
    <w:rsid w:val="00927505"/>
    <w:rsid w:val="009277A7"/>
    <w:rsid w:val="00927D6F"/>
    <w:rsid w:val="00930CCE"/>
    <w:rsid w:val="00931A17"/>
    <w:rsid w:val="009353AC"/>
    <w:rsid w:val="009360C0"/>
    <w:rsid w:val="0093653B"/>
    <w:rsid w:val="00936FF7"/>
    <w:rsid w:val="00937550"/>
    <w:rsid w:val="00937F6B"/>
    <w:rsid w:val="0094028A"/>
    <w:rsid w:val="0094183B"/>
    <w:rsid w:val="00947084"/>
    <w:rsid w:val="00947A7B"/>
    <w:rsid w:val="00947FBD"/>
    <w:rsid w:val="00951A4B"/>
    <w:rsid w:val="0095482F"/>
    <w:rsid w:val="00955403"/>
    <w:rsid w:val="00957526"/>
    <w:rsid w:val="00957C85"/>
    <w:rsid w:val="00957D24"/>
    <w:rsid w:val="009630B4"/>
    <w:rsid w:val="0096330A"/>
    <w:rsid w:val="00963735"/>
    <w:rsid w:val="009650B3"/>
    <w:rsid w:val="00965964"/>
    <w:rsid w:val="0097162D"/>
    <w:rsid w:val="009721C4"/>
    <w:rsid w:val="009722DB"/>
    <w:rsid w:val="0097272E"/>
    <w:rsid w:val="00973B94"/>
    <w:rsid w:val="00974433"/>
    <w:rsid w:val="00974683"/>
    <w:rsid w:val="00976F80"/>
    <w:rsid w:val="009805F2"/>
    <w:rsid w:val="00984C33"/>
    <w:rsid w:val="00986052"/>
    <w:rsid w:val="00987C74"/>
    <w:rsid w:val="00991B11"/>
    <w:rsid w:val="00994D71"/>
    <w:rsid w:val="00996C28"/>
    <w:rsid w:val="00996FA7"/>
    <w:rsid w:val="0099708E"/>
    <w:rsid w:val="009A2DA3"/>
    <w:rsid w:val="009A37EB"/>
    <w:rsid w:val="009A388E"/>
    <w:rsid w:val="009A3ADF"/>
    <w:rsid w:val="009A662A"/>
    <w:rsid w:val="009A6C03"/>
    <w:rsid w:val="009A7840"/>
    <w:rsid w:val="009A7F2E"/>
    <w:rsid w:val="009B0C1D"/>
    <w:rsid w:val="009B139B"/>
    <w:rsid w:val="009B1B7D"/>
    <w:rsid w:val="009B2E68"/>
    <w:rsid w:val="009B67E9"/>
    <w:rsid w:val="009C1A22"/>
    <w:rsid w:val="009C2C3C"/>
    <w:rsid w:val="009C60D3"/>
    <w:rsid w:val="009C6AFA"/>
    <w:rsid w:val="009C7037"/>
    <w:rsid w:val="009C727F"/>
    <w:rsid w:val="009C7943"/>
    <w:rsid w:val="009D1A5C"/>
    <w:rsid w:val="009D217B"/>
    <w:rsid w:val="009D2EAC"/>
    <w:rsid w:val="009D4F4F"/>
    <w:rsid w:val="009D6E1C"/>
    <w:rsid w:val="009D7945"/>
    <w:rsid w:val="009E30A5"/>
    <w:rsid w:val="009E3CEE"/>
    <w:rsid w:val="009E3EAC"/>
    <w:rsid w:val="009E3F63"/>
    <w:rsid w:val="009E4342"/>
    <w:rsid w:val="009E496A"/>
    <w:rsid w:val="009F03B6"/>
    <w:rsid w:val="009F0432"/>
    <w:rsid w:val="009F2842"/>
    <w:rsid w:val="009F2CAA"/>
    <w:rsid w:val="009F3AB0"/>
    <w:rsid w:val="009F3CB2"/>
    <w:rsid w:val="009F68F5"/>
    <w:rsid w:val="009F691A"/>
    <w:rsid w:val="00A004B0"/>
    <w:rsid w:val="00A02FC4"/>
    <w:rsid w:val="00A0487E"/>
    <w:rsid w:val="00A04E54"/>
    <w:rsid w:val="00A061EB"/>
    <w:rsid w:val="00A0698F"/>
    <w:rsid w:val="00A11849"/>
    <w:rsid w:val="00A12E53"/>
    <w:rsid w:val="00A13CF1"/>
    <w:rsid w:val="00A13DFC"/>
    <w:rsid w:val="00A14F7E"/>
    <w:rsid w:val="00A16B16"/>
    <w:rsid w:val="00A170FF"/>
    <w:rsid w:val="00A203F4"/>
    <w:rsid w:val="00A23E03"/>
    <w:rsid w:val="00A25176"/>
    <w:rsid w:val="00A269CF"/>
    <w:rsid w:val="00A33251"/>
    <w:rsid w:val="00A3541E"/>
    <w:rsid w:val="00A364A1"/>
    <w:rsid w:val="00A36649"/>
    <w:rsid w:val="00A36D32"/>
    <w:rsid w:val="00A36E5F"/>
    <w:rsid w:val="00A401BC"/>
    <w:rsid w:val="00A40F25"/>
    <w:rsid w:val="00A423A7"/>
    <w:rsid w:val="00A44F7D"/>
    <w:rsid w:val="00A45DE2"/>
    <w:rsid w:val="00A52E45"/>
    <w:rsid w:val="00A55D49"/>
    <w:rsid w:val="00A60FC8"/>
    <w:rsid w:val="00A61A79"/>
    <w:rsid w:val="00A63606"/>
    <w:rsid w:val="00A64D76"/>
    <w:rsid w:val="00A650B3"/>
    <w:rsid w:val="00A65B8E"/>
    <w:rsid w:val="00A65B9D"/>
    <w:rsid w:val="00A66062"/>
    <w:rsid w:val="00A66317"/>
    <w:rsid w:val="00A66E9E"/>
    <w:rsid w:val="00A70C5A"/>
    <w:rsid w:val="00A710F1"/>
    <w:rsid w:val="00A71D3F"/>
    <w:rsid w:val="00A71FF1"/>
    <w:rsid w:val="00A7213D"/>
    <w:rsid w:val="00A7339D"/>
    <w:rsid w:val="00A74BBA"/>
    <w:rsid w:val="00A74C3A"/>
    <w:rsid w:val="00A76386"/>
    <w:rsid w:val="00A7781C"/>
    <w:rsid w:val="00A84F3D"/>
    <w:rsid w:val="00A86DA7"/>
    <w:rsid w:val="00A90870"/>
    <w:rsid w:val="00A91DC0"/>
    <w:rsid w:val="00A91E49"/>
    <w:rsid w:val="00A9205A"/>
    <w:rsid w:val="00AA0FE4"/>
    <w:rsid w:val="00AA10CE"/>
    <w:rsid w:val="00AA2A57"/>
    <w:rsid w:val="00AA5738"/>
    <w:rsid w:val="00AA6191"/>
    <w:rsid w:val="00AA65EF"/>
    <w:rsid w:val="00AA7E64"/>
    <w:rsid w:val="00AB0EF6"/>
    <w:rsid w:val="00AB0FBF"/>
    <w:rsid w:val="00AB1853"/>
    <w:rsid w:val="00AB2912"/>
    <w:rsid w:val="00AB2FF1"/>
    <w:rsid w:val="00AB5A9E"/>
    <w:rsid w:val="00AC0C82"/>
    <w:rsid w:val="00AC18D7"/>
    <w:rsid w:val="00AC2611"/>
    <w:rsid w:val="00AC2635"/>
    <w:rsid w:val="00AC2BF4"/>
    <w:rsid w:val="00AC2E6A"/>
    <w:rsid w:val="00AC3E12"/>
    <w:rsid w:val="00AC7DFA"/>
    <w:rsid w:val="00AD01B1"/>
    <w:rsid w:val="00AD05A6"/>
    <w:rsid w:val="00AD1F5E"/>
    <w:rsid w:val="00AD436F"/>
    <w:rsid w:val="00AD5368"/>
    <w:rsid w:val="00AE0C7A"/>
    <w:rsid w:val="00AE0F77"/>
    <w:rsid w:val="00AE1EFF"/>
    <w:rsid w:val="00AE2657"/>
    <w:rsid w:val="00AE2F6B"/>
    <w:rsid w:val="00AE4385"/>
    <w:rsid w:val="00AE4C5E"/>
    <w:rsid w:val="00AE52B8"/>
    <w:rsid w:val="00AE7125"/>
    <w:rsid w:val="00AE7BCB"/>
    <w:rsid w:val="00AE7C72"/>
    <w:rsid w:val="00AF0726"/>
    <w:rsid w:val="00AF24B2"/>
    <w:rsid w:val="00AF529C"/>
    <w:rsid w:val="00AF5345"/>
    <w:rsid w:val="00AF5B03"/>
    <w:rsid w:val="00AF5EB2"/>
    <w:rsid w:val="00AF60B7"/>
    <w:rsid w:val="00B00247"/>
    <w:rsid w:val="00B00F06"/>
    <w:rsid w:val="00B01528"/>
    <w:rsid w:val="00B01F41"/>
    <w:rsid w:val="00B03791"/>
    <w:rsid w:val="00B047F1"/>
    <w:rsid w:val="00B051CC"/>
    <w:rsid w:val="00B072C8"/>
    <w:rsid w:val="00B104E2"/>
    <w:rsid w:val="00B13092"/>
    <w:rsid w:val="00B13461"/>
    <w:rsid w:val="00B15E45"/>
    <w:rsid w:val="00B17FF8"/>
    <w:rsid w:val="00B20DA5"/>
    <w:rsid w:val="00B22D3D"/>
    <w:rsid w:val="00B22D55"/>
    <w:rsid w:val="00B235F7"/>
    <w:rsid w:val="00B242B8"/>
    <w:rsid w:val="00B244A4"/>
    <w:rsid w:val="00B24831"/>
    <w:rsid w:val="00B254D8"/>
    <w:rsid w:val="00B265A5"/>
    <w:rsid w:val="00B30840"/>
    <w:rsid w:val="00B30A72"/>
    <w:rsid w:val="00B30CF7"/>
    <w:rsid w:val="00B30F3E"/>
    <w:rsid w:val="00B3280B"/>
    <w:rsid w:val="00B33A63"/>
    <w:rsid w:val="00B344AB"/>
    <w:rsid w:val="00B34570"/>
    <w:rsid w:val="00B365C9"/>
    <w:rsid w:val="00B36D6F"/>
    <w:rsid w:val="00B40113"/>
    <w:rsid w:val="00B40C28"/>
    <w:rsid w:val="00B43BAA"/>
    <w:rsid w:val="00B444F7"/>
    <w:rsid w:val="00B46F5D"/>
    <w:rsid w:val="00B510D1"/>
    <w:rsid w:val="00B516F4"/>
    <w:rsid w:val="00B53695"/>
    <w:rsid w:val="00B5371C"/>
    <w:rsid w:val="00B56122"/>
    <w:rsid w:val="00B6021A"/>
    <w:rsid w:val="00B60672"/>
    <w:rsid w:val="00B61CD8"/>
    <w:rsid w:val="00B61DDE"/>
    <w:rsid w:val="00B62892"/>
    <w:rsid w:val="00B63F07"/>
    <w:rsid w:val="00B64FD7"/>
    <w:rsid w:val="00B650D8"/>
    <w:rsid w:val="00B65FD9"/>
    <w:rsid w:val="00B6634F"/>
    <w:rsid w:val="00B67CFA"/>
    <w:rsid w:val="00B67FDC"/>
    <w:rsid w:val="00B708CF"/>
    <w:rsid w:val="00B71697"/>
    <w:rsid w:val="00B71781"/>
    <w:rsid w:val="00B7222E"/>
    <w:rsid w:val="00B7336C"/>
    <w:rsid w:val="00B734C2"/>
    <w:rsid w:val="00B7548C"/>
    <w:rsid w:val="00B76B88"/>
    <w:rsid w:val="00B76C6A"/>
    <w:rsid w:val="00B77794"/>
    <w:rsid w:val="00B80677"/>
    <w:rsid w:val="00B81ABF"/>
    <w:rsid w:val="00B82437"/>
    <w:rsid w:val="00B829A8"/>
    <w:rsid w:val="00B829B3"/>
    <w:rsid w:val="00B83749"/>
    <w:rsid w:val="00B8560B"/>
    <w:rsid w:val="00B860F7"/>
    <w:rsid w:val="00B86579"/>
    <w:rsid w:val="00B87617"/>
    <w:rsid w:val="00B912EC"/>
    <w:rsid w:val="00B9203C"/>
    <w:rsid w:val="00B92684"/>
    <w:rsid w:val="00B93167"/>
    <w:rsid w:val="00B95065"/>
    <w:rsid w:val="00B96704"/>
    <w:rsid w:val="00B96E93"/>
    <w:rsid w:val="00B971AE"/>
    <w:rsid w:val="00B97AE8"/>
    <w:rsid w:val="00BA2289"/>
    <w:rsid w:val="00BA3745"/>
    <w:rsid w:val="00BA424D"/>
    <w:rsid w:val="00BB01C4"/>
    <w:rsid w:val="00BB1DDF"/>
    <w:rsid w:val="00BB1F05"/>
    <w:rsid w:val="00BB4665"/>
    <w:rsid w:val="00BB4A4E"/>
    <w:rsid w:val="00BC1CC8"/>
    <w:rsid w:val="00BC2D7C"/>
    <w:rsid w:val="00BC47BA"/>
    <w:rsid w:val="00BC6124"/>
    <w:rsid w:val="00BC76D0"/>
    <w:rsid w:val="00BD3529"/>
    <w:rsid w:val="00BD5207"/>
    <w:rsid w:val="00BE134F"/>
    <w:rsid w:val="00BE3538"/>
    <w:rsid w:val="00BE4EA8"/>
    <w:rsid w:val="00BE56ED"/>
    <w:rsid w:val="00BE67E4"/>
    <w:rsid w:val="00BE77A5"/>
    <w:rsid w:val="00BF158F"/>
    <w:rsid w:val="00BF1A98"/>
    <w:rsid w:val="00BF2576"/>
    <w:rsid w:val="00BF279A"/>
    <w:rsid w:val="00BF4913"/>
    <w:rsid w:val="00BF5106"/>
    <w:rsid w:val="00BF583E"/>
    <w:rsid w:val="00BF5D19"/>
    <w:rsid w:val="00BF5DF9"/>
    <w:rsid w:val="00C0043D"/>
    <w:rsid w:val="00C032E9"/>
    <w:rsid w:val="00C03950"/>
    <w:rsid w:val="00C04AEB"/>
    <w:rsid w:val="00C04E50"/>
    <w:rsid w:val="00C053AA"/>
    <w:rsid w:val="00C05572"/>
    <w:rsid w:val="00C10CA2"/>
    <w:rsid w:val="00C1154C"/>
    <w:rsid w:val="00C11CA8"/>
    <w:rsid w:val="00C1561D"/>
    <w:rsid w:val="00C17B97"/>
    <w:rsid w:val="00C20338"/>
    <w:rsid w:val="00C20F02"/>
    <w:rsid w:val="00C2114D"/>
    <w:rsid w:val="00C21D67"/>
    <w:rsid w:val="00C231F2"/>
    <w:rsid w:val="00C2442E"/>
    <w:rsid w:val="00C24B34"/>
    <w:rsid w:val="00C26ABE"/>
    <w:rsid w:val="00C276B1"/>
    <w:rsid w:val="00C343BD"/>
    <w:rsid w:val="00C3561A"/>
    <w:rsid w:val="00C36730"/>
    <w:rsid w:val="00C374D4"/>
    <w:rsid w:val="00C4141D"/>
    <w:rsid w:val="00C437B1"/>
    <w:rsid w:val="00C45AAA"/>
    <w:rsid w:val="00C46721"/>
    <w:rsid w:val="00C46EC8"/>
    <w:rsid w:val="00C52FF7"/>
    <w:rsid w:val="00C536FD"/>
    <w:rsid w:val="00C5413F"/>
    <w:rsid w:val="00C54450"/>
    <w:rsid w:val="00C546FF"/>
    <w:rsid w:val="00C54B84"/>
    <w:rsid w:val="00C54C86"/>
    <w:rsid w:val="00C56178"/>
    <w:rsid w:val="00C56687"/>
    <w:rsid w:val="00C56F97"/>
    <w:rsid w:val="00C577A9"/>
    <w:rsid w:val="00C604D6"/>
    <w:rsid w:val="00C62367"/>
    <w:rsid w:val="00C674B4"/>
    <w:rsid w:val="00C717FC"/>
    <w:rsid w:val="00C72455"/>
    <w:rsid w:val="00C74392"/>
    <w:rsid w:val="00C74422"/>
    <w:rsid w:val="00C75948"/>
    <w:rsid w:val="00C76D3F"/>
    <w:rsid w:val="00C80D62"/>
    <w:rsid w:val="00C82C39"/>
    <w:rsid w:val="00C8337E"/>
    <w:rsid w:val="00C83CDE"/>
    <w:rsid w:val="00C83E21"/>
    <w:rsid w:val="00C85EEF"/>
    <w:rsid w:val="00C8624C"/>
    <w:rsid w:val="00C92B2B"/>
    <w:rsid w:val="00C93F32"/>
    <w:rsid w:val="00C94775"/>
    <w:rsid w:val="00C947A9"/>
    <w:rsid w:val="00C94D3F"/>
    <w:rsid w:val="00C95D73"/>
    <w:rsid w:val="00C96A92"/>
    <w:rsid w:val="00C96E31"/>
    <w:rsid w:val="00C97A89"/>
    <w:rsid w:val="00CA2AB4"/>
    <w:rsid w:val="00CA4575"/>
    <w:rsid w:val="00CA45DC"/>
    <w:rsid w:val="00CA492E"/>
    <w:rsid w:val="00CA4C09"/>
    <w:rsid w:val="00CA4FA9"/>
    <w:rsid w:val="00CA633A"/>
    <w:rsid w:val="00CA6DEF"/>
    <w:rsid w:val="00CA74CA"/>
    <w:rsid w:val="00CB072D"/>
    <w:rsid w:val="00CB09A1"/>
    <w:rsid w:val="00CB146D"/>
    <w:rsid w:val="00CB3355"/>
    <w:rsid w:val="00CB3F35"/>
    <w:rsid w:val="00CB4D1B"/>
    <w:rsid w:val="00CB5011"/>
    <w:rsid w:val="00CB69CF"/>
    <w:rsid w:val="00CB79A7"/>
    <w:rsid w:val="00CC1780"/>
    <w:rsid w:val="00CC48D3"/>
    <w:rsid w:val="00CC4A07"/>
    <w:rsid w:val="00CC4E9E"/>
    <w:rsid w:val="00CC4F1D"/>
    <w:rsid w:val="00CC6E1E"/>
    <w:rsid w:val="00CC7338"/>
    <w:rsid w:val="00CC7BDF"/>
    <w:rsid w:val="00CD2317"/>
    <w:rsid w:val="00CD262F"/>
    <w:rsid w:val="00CD4895"/>
    <w:rsid w:val="00CD4BD8"/>
    <w:rsid w:val="00CD60FC"/>
    <w:rsid w:val="00CD671E"/>
    <w:rsid w:val="00CD683F"/>
    <w:rsid w:val="00CD6B90"/>
    <w:rsid w:val="00CD6DFA"/>
    <w:rsid w:val="00CD7969"/>
    <w:rsid w:val="00CD7ACC"/>
    <w:rsid w:val="00CE1E5E"/>
    <w:rsid w:val="00CE202C"/>
    <w:rsid w:val="00CE3821"/>
    <w:rsid w:val="00CE5CEA"/>
    <w:rsid w:val="00CE688C"/>
    <w:rsid w:val="00CE6911"/>
    <w:rsid w:val="00CE71E5"/>
    <w:rsid w:val="00CF1C62"/>
    <w:rsid w:val="00CF3994"/>
    <w:rsid w:val="00CF3C1D"/>
    <w:rsid w:val="00CF540D"/>
    <w:rsid w:val="00CF6E6C"/>
    <w:rsid w:val="00CF77DC"/>
    <w:rsid w:val="00CF7D0F"/>
    <w:rsid w:val="00D0086F"/>
    <w:rsid w:val="00D01B22"/>
    <w:rsid w:val="00D01B5A"/>
    <w:rsid w:val="00D02682"/>
    <w:rsid w:val="00D03E15"/>
    <w:rsid w:val="00D046E3"/>
    <w:rsid w:val="00D04C48"/>
    <w:rsid w:val="00D05C60"/>
    <w:rsid w:val="00D0603C"/>
    <w:rsid w:val="00D061F7"/>
    <w:rsid w:val="00D06F63"/>
    <w:rsid w:val="00D07DF0"/>
    <w:rsid w:val="00D114FD"/>
    <w:rsid w:val="00D13147"/>
    <w:rsid w:val="00D14818"/>
    <w:rsid w:val="00D15111"/>
    <w:rsid w:val="00D167ED"/>
    <w:rsid w:val="00D17072"/>
    <w:rsid w:val="00D20341"/>
    <w:rsid w:val="00D21751"/>
    <w:rsid w:val="00D21F6E"/>
    <w:rsid w:val="00D22CFE"/>
    <w:rsid w:val="00D23A72"/>
    <w:rsid w:val="00D23AB2"/>
    <w:rsid w:val="00D24C4C"/>
    <w:rsid w:val="00D258D8"/>
    <w:rsid w:val="00D26331"/>
    <w:rsid w:val="00D2652D"/>
    <w:rsid w:val="00D27104"/>
    <w:rsid w:val="00D301D2"/>
    <w:rsid w:val="00D309DD"/>
    <w:rsid w:val="00D30CEF"/>
    <w:rsid w:val="00D31C1B"/>
    <w:rsid w:val="00D33A1A"/>
    <w:rsid w:val="00D34424"/>
    <w:rsid w:val="00D34464"/>
    <w:rsid w:val="00D353A8"/>
    <w:rsid w:val="00D35969"/>
    <w:rsid w:val="00D40E17"/>
    <w:rsid w:val="00D413C5"/>
    <w:rsid w:val="00D42242"/>
    <w:rsid w:val="00D45208"/>
    <w:rsid w:val="00D45568"/>
    <w:rsid w:val="00D46F84"/>
    <w:rsid w:val="00D51C6E"/>
    <w:rsid w:val="00D51D87"/>
    <w:rsid w:val="00D52E7C"/>
    <w:rsid w:val="00D53CE2"/>
    <w:rsid w:val="00D542CC"/>
    <w:rsid w:val="00D543F3"/>
    <w:rsid w:val="00D609E5"/>
    <w:rsid w:val="00D62905"/>
    <w:rsid w:val="00D636FC"/>
    <w:rsid w:val="00D640C7"/>
    <w:rsid w:val="00D651BC"/>
    <w:rsid w:val="00D66971"/>
    <w:rsid w:val="00D708B7"/>
    <w:rsid w:val="00D7296B"/>
    <w:rsid w:val="00D755A7"/>
    <w:rsid w:val="00D77B37"/>
    <w:rsid w:val="00D80173"/>
    <w:rsid w:val="00D81444"/>
    <w:rsid w:val="00D816A0"/>
    <w:rsid w:val="00D81D4D"/>
    <w:rsid w:val="00D823A9"/>
    <w:rsid w:val="00D83FB6"/>
    <w:rsid w:val="00D870A5"/>
    <w:rsid w:val="00D90217"/>
    <w:rsid w:val="00D91F7D"/>
    <w:rsid w:val="00D95224"/>
    <w:rsid w:val="00D95989"/>
    <w:rsid w:val="00D96184"/>
    <w:rsid w:val="00D96B0A"/>
    <w:rsid w:val="00D96C89"/>
    <w:rsid w:val="00D97320"/>
    <w:rsid w:val="00D97FE7"/>
    <w:rsid w:val="00DA52E8"/>
    <w:rsid w:val="00DA6836"/>
    <w:rsid w:val="00DB22C3"/>
    <w:rsid w:val="00DB32CD"/>
    <w:rsid w:val="00DB56F6"/>
    <w:rsid w:val="00DC2A0C"/>
    <w:rsid w:val="00DC3FF0"/>
    <w:rsid w:val="00DC511D"/>
    <w:rsid w:val="00DC54A4"/>
    <w:rsid w:val="00DC6DC9"/>
    <w:rsid w:val="00DD2C65"/>
    <w:rsid w:val="00DD491D"/>
    <w:rsid w:val="00DD4DEC"/>
    <w:rsid w:val="00DD593A"/>
    <w:rsid w:val="00DD7BB6"/>
    <w:rsid w:val="00DE1FE9"/>
    <w:rsid w:val="00DE2B1F"/>
    <w:rsid w:val="00DE5012"/>
    <w:rsid w:val="00DE591C"/>
    <w:rsid w:val="00DE68E0"/>
    <w:rsid w:val="00DE6AEA"/>
    <w:rsid w:val="00DF20F8"/>
    <w:rsid w:val="00DF274C"/>
    <w:rsid w:val="00DF2811"/>
    <w:rsid w:val="00DF3C21"/>
    <w:rsid w:val="00DF6487"/>
    <w:rsid w:val="00DF6C32"/>
    <w:rsid w:val="00E00E5A"/>
    <w:rsid w:val="00E0144B"/>
    <w:rsid w:val="00E0203D"/>
    <w:rsid w:val="00E03F63"/>
    <w:rsid w:val="00E04BEC"/>
    <w:rsid w:val="00E0503D"/>
    <w:rsid w:val="00E06001"/>
    <w:rsid w:val="00E102BB"/>
    <w:rsid w:val="00E118ED"/>
    <w:rsid w:val="00E11FDC"/>
    <w:rsid w:val="00E126E0"/>
    <w:rsid w:val="00E13656"/>
    <w:rsid w:val="00E1655E"/>
    <w:rsid w:val="00E17D68"/>
    <w:rsid w:val="00E219A1"/>
    <w:rsid w:val="00E21DED"/>
    <w:rsid w:val="00E22DF8"/>
    <w:rsid w:val="00E22F11"/>
    <w:rsid w:val="00E25FA6"/>
    <w:rsid w:val="00E263F2"/>
    <w:rsid w:val="00E267F3"/>
    <w:rsid w:val="00E27E4C"/>
    <w:rsid w:val="00E301EE"/>
    <w:rsid w:val="00E30818"/>
    <w:rsid w:val="00E34AAD"/>
    <w:rsid w:val="00E359D0"/>
    <w:rsid w:val="00E36BE2"/>
    <w:rsid w:val="00E36EB6"/>
    <w:rsid w:val="00E3755B"/>
    <w:rsid w:val="00E3783A"/>
    <w:rsid w:val="00E37CC9"/>
    <w:rsid w:val="00E408AE"/>
    <w:rsid w:val="00E411A2"/>
    <w:rsid w:val="00E4169D"/>
    <w:rsid w:val="00E42270"/>
    <w:rsid w:val="00E43930"/>
    <w:rsid w:val="00E43CF7"/>
    <w:rsid w:val="00E44E3C"/>
    <w:rsid w:val="00E45CD7"/>
    <w:rsid w:val="00E46192"/>
    <w:rsid w:val="00E46DBD"/>
    <w:rsid w:val="00E4759B"/>
    <w:rsid w:val="00E5027B"/>
    <w:rsid w:val="00E50B8E"/>
    <w:rsid w:val="00E50D3A"/>
    <w:rsid w:val="00E5197D"/>
    <w:rsid w:val="00E5230C"/>
    <w:rsid w:val="00E52BE0"/>
    <w:rsid w:val="00E544CF"/>
    <w:rsid w:val="00E5485A"/>
    <w:rsid w:val="00E562B4"/>
    <w:rsid w:val="00E568E1"/>
    <w:rsid w:val="00E572F8"/>
    <w:rsid w:val="00E574FC"/>
    <w:rsid w:val="00E60629"/>
    <w:rsid w:val="00E60695"/>
    <w:rsid w:val="00E60BF0"/>
    <w:rsid w:val="00E61043"/>
    <w:rsid w:val="00E61CF3"/>
    <w:rsid w:val="00E61E4D"/>
    <w:rsid w:val="00E6300E"/>
    <w:rsid w:val="00E63E75"/>
    <w:rsid w:val="00E64A0B"/>
    <w:rsid w:val="00E6515F"/>
    <w:rsid w:val="00E65AAE"/>
    <w:rsid w:val="00E65BF2"/>
    <w:rsid w:val="00E672C7"/>
    <w:rsid w:val="00E678EA"/>
    <w:rsid w:val="00E73406"/>
    <w:rsid w:val="00E75B91"/>
    <w:rsid w:val="00E7625C"/>
    <w:rsid w:val="00E76BC5"/>
    <w:rsid w:val="00E772DB"/>
    <w:rsid w:val="00E7781F"/>
    <w:rsid w:val="00E81782"/>
    <w:rsid w:val="00E824FD"/>
    <w:rsid w:val="00E83879"/>
    <w:rsid w:val="00E83CDE"/>
    <w:rsid w:val="00E8596C"/>
    <w:rsid w:val="00E865C0"/>
    <w:rsid w:val="00E900AF"/>
    <w:rsid w:val="00E91CC1"/>
    <w:rsid w:val="00E94FC2"/>
    <w:rsid w:val="00E95659"/>
    <w:rsid w:val="00E95716"/>
    <w:rsid w:val="00E95C92"/>
    <w:rsid w:val="00E97CC8"/>
    <w:rsid w:val="00EA3C71"/>
    <w:rsid w:val="00EA5DD7"/>
    <w:rsid w:val="00EB0134"/>
    <w:rsid w:val="00EB116F"/>
    <w:rsid w:val="00EB14C9"/>
    <w:rsid w:val="00EB1CAB"/>
    <w:rsid w:val="00EB1D29"/>
    <w:rsid w:val="00EB1D6E"/>
    <w:rsid w:val="00EB20D1"/>
    <w:rsid w:val="00EB2C5F"/>
    <w:rsid w:val="00EB2CB1"/>
    <w:rsid w:val="00EB33E2"/>
    <w:rsid w:val="00EB4FDD"/>
    <w:rsid w:val="00EB53B7"/>
    <w:rsid w:val="00EB5AFB"/>
    <w:rsid w:val="00EB7589"/>
    <w:rsid w:val="00EB76A8"/>
    <w:rsid w:val="00EC1E91"/>
    <w:rsid w:val="00EC3A18"/>
    <w:rsid w:val="00EC5217"/>
    <w:rsid w:val="00EC55CB"/>
    <w:rsid w:val="00EC5C09"/>
    <w:rsid w:val="00EC7638"/>
    <w:rsid w:val="00ED073D"/>
    <w:rsid w:val="00ED0CFD"/>
    <w:rsid w:val="00ED0ED7"/>
    <w:rsid w:val="00ED26C2"/>
    <w:rsid w:val="00ED3457"/>
    <w:rsid w:val="00ED4B85"/>
    <w:rsid w:val="00ED6F5A"/>
    <w:rsid w:val="00EE622A"/>
    <w:rsid w:val="00EE6DB9"/>
    <w:rsid w:val="00EF21E1"/>
    <w:rsid w:val="00EF462D"/>
    <w:rsid w:val="00EF4908"/>
    <w:rsid w:val="00EF5B96"/>
    <w:rsid w:val="00EF67C4"/>
    <w:rsid w:val="00F00618"/>
    <w:rsid w:val="00F01ED5"/>
    <w:rsid w:val="00F04B70"/>
    <w:rsid w:val="00F06916"/>
    <w:rsid w:val="00F06C54"/>
    <w:rsid w:val="00F07D74"/>
    <w:rsid w:val="00F1028E"/>
    <w:rsid w:val="00F11576"/>
    <w:rsid w:val="00F115AA"/>
    <w:rsid w:val="00F117D2"/>
    <w:rsid w:val="00F12BB1"/>
    <w:rsid w:val="00F12BCE"/>
    <w:rsid w:val="00F13FAF"/>
    <w:rsid w:val="00F15DF9"/>
    <w:rsid w:val="00F16B41"/>
    <w:rsid w:val="00F17700"/>
    <w:rsid w:val="00F214DB"/>
    <w:rsid w:val="00F22502"/>
    <w:rsid w:val="00F2429D"/>
    <w:rsid w:val="00F24571"/>
    <w:rsid w:val="00F245C8"/>
    <w:rsid w:val="00F275D7"/>
    <w:rsid w:val="00F306F9"/>
    <w:rsid w:val="00F320EE"/>
    <w:rsid w:val="00F33B5B"/>
    <w:rsid w:val="00F36DEA"/>
    <w:rsid w:val="00F400FA"/>
    <w:rsid w:val="00F4050E"/>
    <w:rsid w:val="00F4071A"/>
    <w:rsid w:val="00F416C6"/>
    <w:rsid w:val="00F4217C"/>
    <w:rsid w:val="00F4406F"/>
    <w:rsid w:val="00F4461F"/>
    <w:rsid w:val="00F46D61"/>
    <w:rsid w:val="00F47D25"/>
    <w:rsid w:val="00F5033A"/>
    <w:rsid w:val="00F61E47"/>
    <w:rsid w:val="00F61E7A"/>
    <w:rsid w:val="00F6436F"/>
    <w:rsid w:val="00F6596E"/>
    <w:rsid w:val="00F6679F"/>
    <w:rsid w:val="00F67BB5"/>
    <w:rsid w:val="00F67CAA"/>
    <w:rsid w:val="00F71E30"/>
    <w:rsid w:val="00F72C51"/>
    <w:rsid w:val="00F72F47"/>
    <w:rsid w:val="00F82796"/>
    <w:rsid w:val="00F83A61"/>
    <w:rsid w:val="00F86243"/>
    <w:rsid w:val="00F87942"/>
    <w:rsid w:val="00F9162E"/>
    <w:rsid w:val="00F916E8"/>
    <w:rsid w:val="00F948AD"/>
    <w:rsid w:val="00F96D2D"/>
    <w:rsid w:val="00F97009"/>
    <w:rsid w:val="00F97E31"/>
    <w:rsid w:val="00FA028D"/>
    <w:rsid w:val="00FA1696"/>
    <w:rsid w:val="00FA1D06"/>
    <w:rsid w:val="00FA4086"/>
    <w:rsid w:val="00FA68F1"/>
    <w:rsid w:val="00FA6B31"/>
    <w:rsid w:val="00FA6B98"/>
    <w:rsid w:val="00FA6CD2"/>
    <w:rsid w:val="00FA70A4"/>
    <w:rsid w:val="00FB028A"/>
    <w:rsid w:val="00FB37C0"/>
    <w:rsid w:val="00FB3E48"/>
    <w:rsid w:val="00FB41F7"/>
    <w:rsid w:val="00FB4811"/>
    <w:rsid w:val="00FB59BA"/>
    <w:rsid w:val="00FB5FD1"/>
    <w:rsid w:val="00FB6423"/>
    <w:rsid w:val="00FC01D2"/>
    <w:rsid w:val="00FC094C"/>
    <w:rsid w:val="00FC0D4E"/>
    <w:rsid w:val="00FC183E"/>
    <w:rsid w:val="00FC3BAE"/>
    <w:rsid w:val="00FC4E8E"/>
    <w:rsid w:val="00FC52A9"/>
    <w:rsid w:val="00FC6102"/>
    <w:rsid w:val="00FC7166"/>
    <w:rsid w:val="00FD06B6"/>
    <w:rsid w:val="00FD1399"/>
    <w:rsid w:val="00FD146A"/>
    <w:rsid w:val="00FD1DDA"/>
    <w:rsid w:val="00FD237E"/>
    <w:rsid w:val="00FD47E8"/>
    <w:rsid w:val="00FD4B4C"/>
    <w:rsid w:val="00FD59F0"/>
    <w:rsid w:val="00FD710E"/>
    <w:rsid w:val="00FD728D"/>
    <w:rsid w:val="00FE03AB"/>
    <w:rsid w:val="00FE09E6"/>
    <w:rsid w:val="00FE0E13"/>
    <w:rsid w:val="00FE2505"/>
    <w:rsid w:val="00FE277E"/>
    <w:rsid w:val="00FE38BE"/>
    <w:rsid w:val="00FE51BE"/>
    <w:rsid w:val="00FE5B99"/>
    <w:rsid w:val="00FE63F6"/>
    <w:rsid w:val="00FE7C89"/>
    <w:rsid w:val="00FF0149"/>
    <w:rsid w:val="00FF052C"/>
    <w:rsid w:val="00FF3ABB"/>
    <w:rsid w:val="00FF4296"/>
    <w:rsid w:val="00FF4DD0"/>
    <w:rsid w:val="00FF59C8"/>
    <w:rsid w:val="00FF6705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02320"/>
  <w15:docId w15:val="{F83EA3FB-78C0-4B3D-8ABB-F8DEC1D2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5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5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4372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4372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4372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61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7D2"/>
  </w:style>
  <w:style w:type="paragraph" w:styleId="Pidipagina">
    <w:name w:val="footer"/>
    <w:basedOn w:val="Normale"/>
    <w:link w:val="PidipaginaCarattere"/>
    <w:uiPriority w:val="99"/>
    <w:unhideWhenUsed/>
    <w:rsid w:val="00161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7D2"/>
  </w:style>
  <w:style w:type="paragraph" w:styleId="Didascalia">
    <w:name w:val="caption"/>
    <w:basedOn w:val="Normale"/>
    <w:next w:val="Normale"/>
    <w:uiPriority w:val="35"/>
    <w:unhideWhenUsed/>
    <w:qFormat/>
    <w:rsid w:val="00C1561D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gimb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60B6-D05F-435A-A09D-34D8AF73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7</cp:revision>
  <cp:lastPrinted>2014-01-27T14:53:00Z</cp:lastPrinted>
  <dcterms:created xsi:type="dcterms:W3CDTF">2023-10-02T13:40:00Z</dcterms:created>
  <dcterms:modified xsi:type="dcterms:W3CDTF">2024-01-30T09:11:00Z</dcterms:modified>
</cp:coreProperties>
</file>